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AE7BF4" w14:textId="6D4EDADE" w:rsidR="00256606" w:rsidRPr="00256606" w:rsidRDefault="00256606" w:rsidP="00256606">
      <w:pPr>
        <w:pStyle w:val="Header"/>
        <w:tabs>
          <w:tab w:val="right" w:pos="9639"/>
        </w:tabs>
        <w:jc w:val="both"/>
        <w:rPr>
          <w:rFonts w:cs="Arial"/>
          <w:sz w:val="24"/>
          <w:szCs w:val="24"/>
        </w:rPr>
      </w:pPr>
      <w:bookmarkStart w:id="0" w:name="_GoBack"/>
      <w:r w:rsidRPr="00256606">
        <w:rPr>
          <w:rFonts w:cs="Arial"/>
          <w:sz w:val="24"/>
          <w:szCs w:val="24"/>
        </w:rPr>
        <w:t>3GPP TSG-RAN WG4 Meeting NR ad-hoc #4</w:t>
      </w:r>
      <w:r w:rsidRPr="00256606">
        <w:rPr>
          <w:rFonts w:cs="Arial"/>
          <w:sz w:val="24"/>
          <w:szCs w:val="24"/>
        </w:rPr>
        <w:tab/>
        <w:t>R4-180</w:t>
      </w:r>
      <w:r w:rsidR="007060B2">
        <w:rPr>
          <w:rFonts w:cs="Arial"/>
          <w:sz w:val="24"/>
          <w:szCs w:val="24"/>
        </w:rPr>
        <w:t>0862</w:t>
      </w:r>
    </w:p>
    <w:p w14:paraId="0DD60986" w14:textId="77777777" w:rsidR="00256606" w:rsidRPr="00256606" w:rsidRDefault="00256606" w:rsidP="00256606">
      <w:pPr>
        <w:pStyle w:val="Header"/>
        <w:tabs>
          <w:tab w:val="right" w:pos="9639"/>
        </w:tabs>
        <w:jc w:val="both"/>
        <w:rPr>
          <w:rFonts w:cs="Arial"/>
          <w:sz w:val="24"/>
          <w:szCs w:val="24"/>
        </w:rPr>
      </w:pPr>
      <w:r w:rsidRPr="00256606">
        <w:rPr>
          <w:rFonts w:cs="Arial"/>
          <w:sz w:val="24"/>
          <w:szCs w:val="24"/>
        </w:rPr>
        <w:t>January 22nd – 26st, 2018</w:t>
      </w:r>
    </w:p>
    <w:p w14:paraId="206EFDC8" w14:textId="36AACF8D" w:rsidR="008209AC" w:rsidRPr="00DB3907" w:rsidRDefault="00256606" w:rsidP="008209AC">
      <w:pPr>
        <w:pStyle w:val="Header"/>
        <w:jc w:val="both"/>
        <w:rPr>
          <w:rFonts w:cs="Courier New"/>
          <w:sz w:val="24"/>
          <w:szCs w:val="24"/>
        </w:rPr>
      </w:pPr>
      <w:r w:rsidRPr="00256606">
        <w:rPr>
          <w:rFonts w:cs="Arial"/>
          <w:sz w:val="24"/>
          <w:szCs w:val="24"/>
        </w:rPr>
        <w:t xml:space="preserve">San Diego, CA, USA </w:t>
      </w:r>
    </w:p>
    <w:p w14:paraId="5D0AAE88" w14:textId="77777777" w:rsidR="009C1F3F" w:rsidRPr="00F56E56" w:rsidRDefault="009C1F3F" w:rsidP="00AC033F">
      <w:pPr>
        <w:pStyle w:val="Header"/>
        <w:jc w:val="both"/>
        <w:rPr>
          <w:rFonts w:cs="Arial"/>
          <w:b w:val="0"/>
        </w:rPr>
      </w:pPr>
    </w:p>
    <w:p w14:paraId="7DD67F2E" w14:textId="77777777" w:rsidR="00E43D4D" w:rsidRPr="00E53F32" w:rsidRDefault="00E43D4D" w:rsidP="00AC033F">
      <w:pPr>
        <w:pStyle w:val="Footer"/>
        <w:jc w:val="both"/>
      </w:pPr>
    </w:p>
    <w:p w14:paraId="28D9F781" w14:textId="713F0838" w:rsidR="00E43D4D" w:rsidRDefault="00E43D4D" w:rsidP="00AC033F">
      <w:pPr>
        <w:tabs>
          <w:tab w:val="left" w:pos="1985"/>
        </w:tabs>
        <w:jc w:val="both"/>
        <w:rPr>
          <w:rFonts w:ascii="Arial" w:hAnsi="Arial"/>
          <w:sz w:val="24"/>
          <w:lang w:val="en-US"/>
        </w:rPr>
      </w:pPr>
      <w:r>
        <w:rPr>
          <w:rFonts w:ascii="Arial" w:hAnsi="Arial"/>
          <w:b/>
          <w:sz w:val="24"/>
          <w:lang w:val="en-US"/>
        </w:rPr>
        <w:t>Agenda item:</w:t>
      </w:r>
      <w:r>
        <w:rPr>
          <w:rFonts w:ascii="Arial" w:hAnsi="Arial"/>
          <w:sz w:val="24"/>
          <w:lang w:val="en-US"/>
        </w:rPr>
        <w:tab/>
      </w:r>
      <w:r w:rsidR="00256606">
        <w:rPr>
          <w:rFonts w:ascii="Arial" w:hAnsi="Arial"/>
          <w:sz w:val="24"/>
          <w:lang w:val="en-US"/>
        </w:rPr>
        <w:t>4.3.2.1</w:t>
      </w:r>
      <w:r w:rsidR="00E923C7">
        <w:rPr>
          <w:rFonts w:ascii="Arial" w:hAnsi="Arial"/>
          <w:sz w:val="24"/>
          <w:lang w:val="en-US"/>
        </w:rPr>
        <w:t>.5</w:t>
      </w:r>
    </w:p>
    <w:p w14:paraId="4CF8EA00" w14:textId="77777777" w:rsidR="00E43D4D" w:rsidRDefault="00E43D4D" w:rsidP="00AC033F">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r w:rsidR="006A08EC">
        <w:rPr>
          <w:rFonts w:ascii="Arial" w:hAnsi="Arial"/>
          <w:sz w:val="24"/>
          <w:lang w:val="en-US"/>
        </w:rPr>
        <w:t xml:space="preserve"> </w:t>
      </w:r>
    </w:p>
    <w:p w14:paraId="0435EF8D" w14:textId="40EE3010"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293CD0" w:rsidRPr="00293CD0">
        <w:rPr>
          <w:rFonts w:ascii="Arial" w:hAnsi="Arial"/>
          <w:sz w:val="24"/>
          <w:lang w:val="en-US"/>
        </w:rPr>
        <w:t xml:space="preserve">On mmW NR Coverage and Capacity - Sensitivity to UE </w:t>
      </w:r>
      <w:r w:rsidR="00256606">
        <w:rPr>
          <w:rFonts w:ascii="Arial" w:hAnsi="Arial"/>
          <w:sz w:val="24"/>
          <w:lang w:val="en-US"/>
        </w:rPr>
        <w:t xml:space="preserve">peak </w:t>
      </w:r>
      <w:r w:rsidR="00293CD0" w:rsidRPr="00293CD0">
        <w:rPr>
          <w:rFonts w:ascii="Arial" w:hAnsi="Arial"/>
          <w:sz w:val="24"/>
          <w:lang w:val="en-US"/>
        </w:rPr>
        <w:t>EIRP</w:t>
      </w:r>
    </w:p>
    <w:p w14:paraId="243396C4" w14:textId="3E6E8EE0"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Document for:</w:t>
      </w:r>
      <w:r>
        <w:rPr>
          <w:rFonts w:ascii="Arial" w:hAnsi="Arial"/>
          <w:sz w:val="24"/>
          <w:lang w:val="en-US"/>
        </w:rPr>
        <w:tab/>
      </w:r>
      <w:r w:rsidR="007939DE">
        <w:rPr>
          <w:rFonts w:ascii="Arial" w:hAnsi="Arial"/>
          <w:sz w:val="24"/>
          <w:lang w:val="en-US"/>
        </w:rPr>
        <w:t>Discussion</w:t>
      </w:r>
    </w:p>
    <w:p w14:paraId="6A2BACED" w14:textId="77777777" w:rsidR="005B6C6D" w:rsidRPr="005B6C6D" w:rsidRDefault="000E0602" w:rsidP="005B6C6D">
      <w:pPr>
        <w:pStyle w:val="Heading1"/>
        <w:tabs>
          <w:tab w:val="clear" w:pos="432"/>
          <w:tab w:val="num" w:pos="522"/>
        </w:tabs>
        <w:ind w:left="522" w:hanging="522"/>
        <w:jc w:val="both"/>
        <w:rPr>
          <w:lang w:val="en-US"/>
        </w:rPr>
      </w:pPr>
      <w:bookmarkStart w:id="1" w:name="_Ref463014664"/>
      <w:r>
        <w:rPr>
          <w:lang w:val="en-US"/>
        </w:rPr>
        <w:t>Introduction</w:t>
      </w:r>
      <w:bookmarkEnd w:id="1"/>
    </w:p>
    <w:p w14:paraId="65C8B898" w14:textId="09ED4774" w:rsidR="00704B3C" w:rsidRDefault="00057067" w:rsidP="0020451B">
      <w:pPr>
        <w:jc w:val="both"/>
        <w:rPr>
          <w:rFonts w:cs="v5.0.0"/>
        </w:rPr>
      </w:pPr>
      <w:r>
        <w:rPr>
          <w:rFonts w:cs="v5.0.0"/>
        </w:rPr>
        <w:t>In</w:t>
      </w:r>
      <w:r w:rsidR="003E293D">
        <w:rPr>
          <w:rFonts w:cs="v5.0.0"/>
        </w:rPr>
        <w:t xml:space="preserve"> RAN4 #8</w:t>
      </w:r>
      <w:r>
        <w:rPr>
          <w:rFonts w:cs="v5.0.0"/>
        </w:rPr>
        <w:t>5</w:t>
      </w:r>
      <w:r w:rsidR="000A08AB">
        <w:rPr>
          <w:rFonts w:cs="v5.0.0"/>
        </w:rPr>
        <w:t>, the UE power class for frequency range 2 (FR) NR was extensively discussed. With specific reference to the peak EIRP requirement,</w:t>
      </w:r>
      <w:r>
        <w:rPr>
          <w:rFonts w:cs="v5.0.0"/>
        </w:rPr>
        <w:t xml:space="preserve"> a Way Forward (WF) has been </w:t>
      </w:r>
      <w:r w:rsidR="005E49D2">
        <w:rPr>
          <w:rFonts w:cs="v5.0.0"/>
        </w:rPr>
        <w:t>approved defining the</w:t>
      </w:r>
      <w:r w:rsidR="000E41EF">
        <w:rPr>
          <w:rFonts w:cs="v5.0.0"/>
        </w:rPr>
        <w:t xml:space="preserve"> range 21.2 </w:t>
      </w:r>
      <w:r w:rsidR="005E49D2">
        <w:rPr>
          <w:rFonts w:cs="v5.0.0"/>
        </w:rPr>
        <w:t>to</w:t>
      </w:r>
      <w:r w:rsidR="000E41EF">
        <w:rPr>
          <w:rFonts w:cs="v5.0.0"/>
        </w:rPr>
        <w:t xml:space="preserve"> 25.2</w:t>
      </w:r>
      <w:r w:rsidR="005E49D2">
        <w:rPr>
          <w:rFonts w:cs="v5.0.0"/>
        </w:rPr>
        <w:t xml:space="preserve"> </w:t>
      </w:r>
      <w:r w:rsidR="000E41EF">
        <w:rPr>
          <w:rFonts w:cs="v5.0.0"/>
        </w:rPr>
        <w:t>dBm</w:t>
      </w:r>
      <w:r w:rsidR="002372E7">
        <w:rPr>
          <w:rFonts w:cs="v5.0.0"/>
        </w:rPr>
        <w:t xml:space="preserve"> for </w:t>
      </w:r>
      <w:r w:rsidR="00704B3C">
        <w:rPr>
          <w:rFonts w:cs="v5.0.0"/>
        </w:rPr>
        <w:t xml:space="preserve">the </w:t>
      </w:r>
      <w:r w:rsidR="002372E7">
        <w:rPr>
          <w:rFonts w:cs="v5.0.0"/>
        </w:rPr>
        <w:t>28 GHz band</w:t>
      </w:r>
      <w:r w:rsidR="005E49D2">
        <w:rPr>
          <w:rFonts w:cs="v5.0.0"/>
        </w:rPr>
        <w:t xml:space="preserve"> </w:t>
      </w:r>
      <w:r w:rsidR="005E49D2">
        <w:rPr>
          <w:rFonts w:cs="v5.0.0"/>
        </w:rPr>
        <w:fldChar w:fldCharType="begin"/>
      </w:r>
      <w:r w:rsidR="005E49D2">
        <w:rPr>
          <w:rFonts w:cs="v5.0.0"/>
        </w:rPr>
        <w:instrText xml:space="preserve"> REF _Ref492892245 \n \h </w:instrText>
      </w:r>
      <w:r w:rsidR="005E49D2">
        <w:rPr>
          <w:rFonts w:cs="v5.0.0"/>
        </w:rPr>
      </w:r>
      <w:r w:rsidR="005E49D2">
        <w:rPr>
          <w:rFonts w:cs="v5.0.0"/>
        </w:rPr>
        <w:fldChar w:fldCharType="separate"/>
      </w:r>
      <w:r w:rsidR="002A1E25">
        <w:rPr>
          <w:rFonts w:cs="v5.0.0"/>
        </w:rPr>
        <w:t>[1]</w:t>
      </w:r>
      <w:r w:rsidR="005E49D2">
        <w:rPr>
          <w:rFonts w:cs="v5.0.0"/>
        </w:rPr>
        <w:fldChar w:fldCharType="end"/>
      </w:r>
      <w:r w:rsidR="002372E7">
        <w:rPr>
          <w:rFonts w:cs="v5.0.0"/>
        </w:rPr>
        <w:t>.</w:t>
      </w:r>
      <w:r w:rsidR="000E41EF">
        <w:rPr>
          <w:rFonts w:cs="v5.0.0"/>
        </w:rPr>
        <w:t xml:space="preserve"> </w:t>
      </w:r>
    </w:p>
    <w:p w14:paraId="5886DF99" w14:textId="61041B3F" w:rsidR="000E41EF" w:rsidRDefault="00704B3C" w:rsidP="0020451B">
      <w:pPr>
        <w:jc w:val="both"/>
        <w:rPr>
          <w:rFonts w:cs="v5.0.0"/>
        </w:rPr>
      </w:pPr>
      <w:r>
        <w:rPr>
          <w:rFonts w:cs="v5.0.0"/>
        </w:rPr>
        <w:t xml:space="preserve">In this contribution, we provide a set of simulation results showing the impact of peak EIRP on the overall NR UL performance in 28GHz band. The assumptions adopted in this study are listed in </w:t>
      </w:r>
      <w:r>
        <w:rPr>
          <w:rFonts w:cs="v5.0.0"/>
        </w:rPr>
        <w:fldChar w:fldCharType="begin"/>
      </w:r>
      <w:r>
        <w:rPr>
          <w:rFonts w:cs="v5.0.0"/>
        </w:rPr>
        <w:instrText xml:space="preserve"> REF _Ref503532331 \r \h </w:instrText>
      </w:r>
      <w:r>
        <w:rPr>
          <w:rFonts w:cs="v5.0.0"/>
        </w:rPr>
      </w:r>
      <w:r>
        <w:rPr>
          <w:rFonts w:cs="v5.0.0"/>
        </w:rPr>
        <w:fldChar w:fldCharType="separate"/>
      </w:r>
      <w:r w:rsidR="002A1E25">
        <w:rPr>
          <w:rFonts w:cs="v5.0.0"/>
        </w:rPr>
        <w:t>[2]</w:t>
      </w:r>
      <w:r>
        <w:rPr>
          <w:rFonts w:cs="v5.0.0"/>
        </w:rPr>
        <w:fldChar w:fldCharType="end"/>
      </w:r>
      <w:r>
        <w:rPr>
          <w:rFonts w:cs="v5.0.0"/>
        </w:rPr>
        <w:t xml:space="preserve">. The final goal of this paper is to provide information useful to finalize the peak EIRP requirement, </w:t>
      </w:r>
      <w:r w:rsidRPr="005E49D2">
        <w:rPr>
          <w:rFonts w:cs="v5.0.0"/>
        </w:rPr>
        <w:t>i.e</w:t>
      </w:r>
      <w:r w:rsidRPr="009C042B">
        <w:rPr>
          <w:rFonts w:cs="v5.0.0"/>
          <w:i/>
        </w:rPr>
        <w:t>.</w:t>
      </w:r>
      <w:r>
        <w:rPr>
          <w:rFonts w:cs="v5.0.0"/>
        </w:rPr>
        <w:t xml:space="preserve"> to select a peak EIRP value within the agreed range. </w:t>
      </w:r>
    </w:p>
    <w:p w14:paraId="195D8C46" w14:textId="77777777" w:rsidR="00781440" w:rsidRDefault="00981D0D" w:rsidP="00AC033F">
      <w:pPr>
        <w:pStyle w:val="Heading1"/>
        <w:tabs>
          <w:tab w:val="clear" w:pos="432"/>
          <w:tab w:val="num" w:pos="522"/>
        </w:tabs>
        <w:ind w:left="522" w:hanging="522"/>
        <w:jc w:val="both"/>
        <w:rPr>
          <w:lang w:val="en-US"/>
        </w:rPr>
      </w:pPr>
      <w:r>
        <w:rPr>
          <w:lang w:val="en-US"/>
        </w:rPr>
        <w:t>Discussion</w:t>
      </w:r>
    </w:p>
    <w:p w14:paraId="7EDF45A0" w14:textId="1BBEB6BA" w:rsidR="00704B3C" w:rsidRDefault="006F0F8C" w:rsidP="00704B3C">
      <w:pPr>
        <w:jc w:val="both"/>
        <w:rPr>
          <w:bCs/>
          <w:iCs/>
        </w:rPr>
      </w:pPr>
      <w:r>
        <w:rPr>
          <w:bCs/>
          <w:iCs/>
        </w:rPr>
        <w:t>After a very long debate in RAN4 #84, i</w:t>
      </w:r>
      <w:r w:rsidR="00704B3C">
        <w:rPr>
          <w:bCs/>
          <w:iCs/>
        </w:rPr>
        <w:t xml:space="preserve">n </w:t>
      </w:r>
      <w:r w:rsidR="00704B3C">
        <w:rPr>
          <w:bCs/>
          <w:iCs/>
        </w:rPr>
        <w:fldChar w:fldCharType="begin"/>
      </w:r>
      <w:r w:rsidR="00704B3C">
        <w:rPr>
          <w:bCs/>
          <w:iCs/>
        </w:rPr>
        <w:instrText xml:space="preserve"> REF _Ref492892245 \r \h </w:instrText>
      </w:r>
      <w:r w:rsidR="00704B3C">
        <w:rPr>
          <w:bCs/>
          <w:iCs/>
        </w:rPr>
      </w:r>
      <w:r w:rsidR="00704B3C">
        <w:rPr>
          <w:bCs/>
          <w:iCs/>
        </w:rPr>
        <w:fldChar w:fldCharType="separate"/>
      </w:r>
      <w:r w:rsidR="002A1E25">
        <w:rPr>
          <w:bCs/>
          <w:iCs/>
        </w:rPr>
        <w:t>[1]</w:t>
      </w:r>
      <w:r w:rsidR="00704B3C">
        <w:rPr>
          <w:bCs/>
          <w:iCs/>
        </w:rPr>
        <w:fldChar w:fldCharType="end"/>
      </w:r>
      <w:r w:rsidR="00704B3C">
        <w:rPr>
          <w:bCs/>
          <w:iCs/>
        </w:rPr>
        <w:t xml:space="preserve"> the following was agreed</w:t>
      </w:r>
      <w:r>
        <w:rPr>
          <w:bCs/>
          <w:iCs/>
        </w:rPr>
        <w:t>:</w:t>
      </w:r>
    </w:p>
    <w:p w14:paraId="567F1751" w14:textId="77777777" w:rsidR="00704B3C" w:rsidRPr="0081223F" w:rsidRDefault="00704B3C" w:rsidP="00704B3C">
      <w:pPr>
        <w:numPr>
          <w:ilvl w:val="0"/>
          <w:numId w:val="37"/>
        </w:numPr>
        <w:jc w:val="both"/>
        <w:rPr>
          <w:bCs/>
          <w:i/>
          <w:iCs/>
          <w:lang w:val="en-US"/>
        </w:rPr>
      </w:pPr>
      <w:r w:rsidRPr="0081223F">
        <w:rPr>
          <w:bCs/>
          <w:i/>
          <w:iCs/>
          <w:lang w:val="en-US"/>
        </w:rPr>
        <w:t>The handheld UE peak EIRP range is defined as follows and will be captured in TS38.101-2 in this meeting</w:t>
      </w:r>
    </w:p>
    <w:p w14:paraId="64AE5291" w14:textId="77777777" w:rsidR="00704B3C" w:rsidRPr="0081223F" w:rsidRDefault="00704B3C" w:rsidP="00704B3C">
      <w:pPr>
        <w:numPr>
          <w:ilvl w:val="1"/>
          <w:numId w:val="37"/>
        </w:numPr>
        <w:jc w:val="both"/>
        <w:rPr>
          <w:bCs/>
          <w:i/>
          <w:iCs/>
          <w:lang w:val="en-US"/>
        </w:rPr>
      </w:pPr>
      <w:r w:rsidRPr="0081223F">
        <w:rPr>
          <w:bCs/>
          <w:i/>
          <w:iCs/>
          <w:lang w:val="en-US"/>
        </w:rPr>
        <w:t>For 28 GHz: [21.2-25.2] dBm</w:t>
      </w:r>
    </w:p>
    <w:p w14:paraId="0EA28435" w14:textId="77777777" w:rsidR="00704B3C" w:rsidRPr="0081223F" w:rsidRDefault="00704B3C" w:rsidP="00704B3C">
      <w:pPr>
        <w:numPr>
          <w:ilvl w:val="1"/>
          <w:numId w:val="37"/>
        </w:numPr>
        <w:jc w:val="both"/>
        <w:rPr>
          <w:bCs/>
          <w:i/>
          <w:iCs/>
          <w:lang w:val="en-US"/>
        </w:rPr>
      </w:pPr>
      <w:r w:rsidRPr="0081223F">
        <w:rPr>
          <w:bCs/>
          <w:i/>
          <w:iCs/>
          <w:lang w:val="en-US"/>
        </w:rPr>
        <w:t>For 39 GHz: [19.4-23.7] dBm</w:t>
      </w:r>
    </w:p>
    <w:p w14:paraId="40A2840B" w14:textId="5E4E644E" w:rsidR="006F0F8C" w:rsidRDefault="006F0F8C" w:rsidP="00704B3C">
      <w:pPr>
        <w:jc w:val="both"/>
        <w:rPr>
          <w:bCs/>
          <w:iCs/>
          <w:lang w:val="en-US"/>
        </w:rPr>
      </w:pPr>
      <w:r>
        <w:rPr>
          <w:bCs/>
          <w:iCs/>
          <w:lang w:val="en-US"/>
        </w:rPr>
        <w:t xml:space="preserve">The ranges in square brackets are already implemented </w:t>
      </w:r>
      <w:r>
        <w:rPr>
          <w:bCs/>
          <w:iCs/>
        </w:rPr>
        <w:t xml:space="preserve">in the first release of UE RF technical specification for FR2 </w:t>
      </w:r>
      <w:r w:rsidR="003B7B52">
        <w:rPr>
          <w:bCs/>
          <w:iCs/>
        </w:rPr>
        <w:fldChar w:fldCharType="begin"/>
      </w:r>
      <w:r w:rsidR="003B7B52">
        <w:rPr>
          <w:bCs/>
          <w:iCs/>
        </w:rPr>
        <w:instrText xml:space="preserve"> REF _Ref503532759 \r \h </w:instrText>
      </w:r>
      <w:r w:rsidR="003B7B52">
        <w:rPr>
          <w:bCs/>
          <w:iCs/>
        </w:rPr>
      </w:r>
      <w:r w:rsidR="003B7B52">
        <w:rPr>
          <w:bCs/>
          <w:iCs/>
        </w:rPr>
        <w:fldChar w:fldCharType="separate"/>
      </w:r>
      <w:r w:rsidR="002A1E25">
        <w:rPr>
          <w:bCs/>
          <w:iCs/>
        </w:rPr>
        <w:t>[3]</w:t>
      </w:r>
      <w:r w:rsidR="003B7B52">
        <w:rPr>
          <w:bCs/>
          <w:iCs/>
        </w:rPr>
        <w:fldChar w:fldCharType="end"/>
      </w:r>
      <w:r w:rsidR="003B7B52">
        <w:rPr>
          <w:bCs/>
          <w:iCs/>
        </w:rPr>
        <w:t>.</w:t>
      </w:r>
    </w:p>
    <w:p w14:paraId="0BB69E94" w14:textId="111C29B6" w:rsidR="00704B3C" w:rsidRDefault="00704B3C" w:rsidP="00704B3C">
      <w:pPr>
        <w:jc w:val="both"/>
        <w:rPr>
          <w:bCs/>
          <w:iCs/>
          <w:lang w:val="en-US"/>
        </w:rPr>
      </w:pPr>
      <w:r>
        <w:rPr>
          <w:bCs/>
          <w:iCs/>
          <w:lang w:val="en-US"/>
        </w:rPr>
        <w:t xml:space="preserve">Furthermore, </w:t>
      </w:r>
      <w:r w:rsidR="006F0F8C">
        <w:rPr>
          <w:bCs/>
          <w:iCs/>
          <w:lang w:val="en-US"/>
        </w:rPr>
        <w:t xml:space="preserve">it is agreed </w:t>
      </w:r>
      <w:r w:rsidRPr="0081223F">
        <w:rPr>
          <w:bCs/>
          <w:i/>
          <w:iCs/>
          <w:lang w:val="en-US"/>
        </w:rPr>
        <w:t>“companies are encouraged to provide additional analysis with the intention to finalize the UE peak EIRP requirement”</w:t>
      </w:r>
      <w:r>
        <w:rPr>
          <w:bCs/>
          <w:iCs/>
          <w:lang w:val="en-US"/>
        </w:rPr>
        <w:t xml:space="preserve">. </w:t>
      </w:r>
      <w:r w:rsidR="003B7B52">
        <w:rPr>
          <w:bCs/>
          <w:iCs/>
          <w:lang w:val="en-US"/>
        </w:rPr>
        <w:t xml:space="preserve">The goal of the study presented in this contribution is to understand how NR network performance in millimeter wave (mmW) frequency range is sensitive to the UE peak EIRP requirement. </w:t>
      </w:r>
    </w:p>
    <w:p w14:paraId="0078DC33" w14:textId="28D78D85" w:rsidR="003B7B52" w:rsidRDefault="003B7B52" w:rsidP="00704B3C">
      <w:pPr>
        <w:jc w:val="both"/>
        <w:rPr>
          <w:bCs/>
          <w:iCs/>
          <w:lang w:val="en-US"/>
        </w:rPr>
      </w:pPr>
      <w:r>
        <w:rPr>
          <w:bCs/>
          <w:iCs/>
          <w:lang w:val="en-US"/>
        </w:rPr>
        <w:t>In the following sections, after a brief introduction of the adopted simulation assumptions, we will show UL throughput and coverage performance considering three different deployment scenario</w:t>
      </w:r>
      <w:r w:rsidR="00EE1643">
        <w:rPr>
          <w:bCs/>
          <w:iCs/>
          <w:lang w:val="en-US"/>
        </w:rPr>
        <w:t>s</w:t>
      </w:r>
      <w:r>
        <w:rPr>
          <w:bCs/>
          <w:iCs/>
          <w:lang w:val="en-US"/>
        </w:rPr>
        <w:t xml:space="preserve">, namely </w:t>
      </w:r>
      <w:r>
        <w:rPr>
          <w:lang w:val="en-US"/>
        </w:rPr>
        <w:t>indoor office (</w:t>
      </w:r>
      <w:proofErr w:type="spellStart"/>
      <w:r>
        <w:rPr>
          <w:lang w:val="en-US"/>
        </w:rPr>
        <w:t>InH</w:t>
      </w:r>
      <w:proofErr w:type="spellEnd"/>
      <w:r>
        <w:rPr>
          <w:lang w:val="en-US"/>
        </w:rPr>
        <w:t>), dense urban (</w:t>
      </w:r>
      <w:proofErr w:type="spellStart"/>
      <w:r>
        <w:rPr>
          <w:lang w:val="en-US"/>
        </w:rPr>
        <w:t>UMi</w:t>
      </w:r>
      <w:proofErr w:type="spellEnd"/>
      <w:r>
        <w:rPr>
          <w:lang w:val="en-US"/>
        </w:rPr>
        <w:t>) and for Urban Macro (</w:t>
      </w:r>
      <w:proofErr w:type="spellStart"/>
      <w:r>
        <w:rPr>
          <w:lang w:val="en-US"/>
        </w:rPr>
        <w:t>UMa</w:t>
      </w:r>
      <w:proofErr w:type="spellEnd"/>
      <w:r>
        <w:rPr>
          <w:lang w:val="en-US"/>
        </w:rPr>
        <w:t>).</w:t>
      </w:r>
    </w:p>
    <w:p w14:paraId="54B898DD" w14:textId="2B230E81" w:rsidR="00805E42" w:rsidRDefault="004F3B49" w:rsidP="00F33FEA">
      <w:pPr>
        <w:pStyle w:val="Heading2"/>
        <w:rPr>
          <w:lang w:val="en-US"/>
        </w:rPr>
      </w:pPr>
      <w:bookmarkStart w:id="2" w:name="_Ref498606406"/>
      <w:r>
        <w:rPr>
          <w:lang w:val="en-US"/>
        </w:rPr>
        <w:t>S</w:t>
      </w:r>
      <w:r w:rsidR="00805E42">
        <w:rPr>
          <w:lang w:val="en-US"/>
        </w:rPr>
        <w:t>imulation assumptions</w:t>
      </w:r>
      <w:bookmarkEnd w:id="2"/>
      <w:r w:rsidR="00805E42">
        <w:rPr>
          <w:lang w:val="en-US"/>
        </w:rPr>
        <w:t xml:space="preserve"> </w:t>
      </w:r>
    </w:p>
    <w:p w14:paraId="301EB373" w14:textId="12DB229E" w:rsidR="003B7B52" w:rsidRDefault="003B7B52" w:rsidP="002D4D1D">
      <w:pPr>
        <w:jc w:val="both"/>
        <w:rPr>
          <w:lang w:val="en-US"/>
        </w:rPr>
      </w:pPr>
      <w:r>
        <w:rPr>
          <w:lang w:val="en-US"/>
        </w:rPr>
        <w:t xml:space="preserve">The simulation assumptions adopted in this contribution are based on the ones agreed during NR study item and captured in TR 38.803 </w:t>
      </w:r>
      <w:r>
        <w:rPr>
          <w:lang w:val="en-US"/>
        </w:rPr>
        <w:fldChar w:fldCharType="begin"/>
      </w:r>
      <w:r>
        <w:rPr>
          <w:lang w:val="en-US"/>
        </w:rPr>
        <w:instrText xml:space="preserve"> REF _Ref503533159 \r \h </w:instrText>
      </w:r>
      <w:r>
        <w:rPr>
          <w:lang w:val="en-US"/>
        </w:rPr>
      </w:r>
      <w:r>
        <w:rPr>
          <w:lang w:val="en-US"/>
        </w:rPr>
        <w:fldChar w:fldCharType="separate"/>
      </w:r>
      <w:r w:rsidR="002A1E25">
        <w:rPr>
          <w:lang w:val="en-US"/>
        </w:rPr>
        <w:t>[4]</w:t>
      </w:r>
      <w:r>
        <w:rPr>
          <w:lang w:val="en-US"/>
        </w:rPr>
        <w:fldChar w:fldCharType="end"/>
      </w:r>
      <w:r>
        <w:rPr>
          <w:lang w:val="en-US"/>
        </w:rPr>
        <w:t xml:space="preserve">. However, we propose to improve some of the assumptions </w:t>
      </w:r>
      <w:proofErr w:type="gramStart"/>
      <w:r>
        <w:rPr>
          <w:lang w:val="en-US"/>
        </w:rPr>
        <w:t>in order to</w:t>
      </w:r>
      <w:proofErr w:type="gramEnd"/>
      <w:r>
        <w:rPr>
          <w:lang w:val="en-US"/>
        </w:rPr>
        <w:t xml:space="preserve"> get a more typical deployment and UE behavior. The full set of assumptions which are the basis of this study is described in </w:t>
      </w:r>
      <w:r>
        <w:rPr>
          <w:lang w:val="en-US"/>
        </w:rPr>
        <w:fldChar w:fldCharType="begin"/>
      </w:r>
      <w:r>
        <w:rPr>
          <w:lang w:val="en-US"/>
        </w:rPr>
        <w:instrText xml:space="preserve"> REF _Ref503532331 \r \h </w:instrText>
      </w:r>
      <w:r>
        <w:rPr>
          <w:lang w:val="en-US"/>
        </w:rPr>
      </w:r>
      <w:r>
        <w:rPr>
          <w:lang w:val="en-US"/>
        </w:rPr>
        <w:fldChar w:fldCharType="separate"/>
      </w:r>
      <w:r w:rsidR="002A1E25">
        <w:rPr>
          <w:lang w:val="en-US"/>
        </w:rPr>
        <w:t>[2]</w:t>
      </w:r>
      <w:r>
        <w:rPr>
          <w:lang w:val="en-US"/>
        </w:rPr>
        <w:fldChar w:fldCharType="end"/>
      </w:r>
      <w:r>
        <w:rPr>
          <w:lang w:val="en-US"/>
        </w:rPr>
        <w:t>, where a rational for every modification com</w:t>
      </w:r>
      <w:r w:rsidR="0056269B">
        <w:rPr>
          <w:lang w:val="en-US"/>
        </w:rPr>
        <w:t>pared to TR 38.803 is given. In</w:t>
      </w:r>
      <w:r>
        <w:rPr>
          <w:lang w:val="en-US"/>
        </w:rPr>
        <w:t xml:space="preserve"> </w:t>
      </w:r>
      <w:r w:rsidR="0056269B" w:rsidRPr="007D48DA">
        <w:rPr>
          <w:lang w:val="en-US"/>
        </w:rPr>
        <w:fldChar w:fldCharType="begin"/>
      </w:r>
      <w:r w:rsidR="0056269B" w:rsidRPr="007D48DA">
        <w:rPr>
          <w:lang w:val="en-US"/>
        </w:rPr>
        <w:instrText xml:space="preserve"> REF _Ref503359305 \h  \* MERGEFORMAT </w:instrText>
      </w:r>
      <w:r w:rsidR="0056269B" w:rsidRPr="007D48DA">
        <w:rPr>
          <w:lang w:val="en-US"/>
        </w:rPr>
      </w:r>
      <w:r w:rsidR="0056269B" w:rsidRPr="007D48DA">
        <w:rPr>
          <w:lang w:val="en-US"/>
        </w:rPr>
        <w:fldChar w:fldCharType="separate"/>
      </w:r>
      <w:r w:rsidR="002A1E25">
        <w:t xml:space="preserve">Table </w:t>
      </w:r>
      <w:r w:rsidR="002A1E25">
        <w:rPr>
          <w:noProof/>
        </w:rPr>
        <w:t>1</w:t>
      </w:r>
      <w:r w:rsidR="0056269B" w:rsidRPr="007D48DA">
        <w:rPr>
          <w:lang w:val="en-US"/>
        </w:rPr>
        <w:fldChar w:fldCharType="end"/>
      </w:r>
      <w:r w:rsidR="006970C9">
        <w:rPr>
          <w:lang w:val="en-US"/>
        </w:rPr>
        <w:t>, a</w:t>
      </w:r>
      <w:r w:rsidR="0056269B">
        <w:rPr>
          <w:lang w:val="en-US"/>
        </w:rPr>
        <w:t xml:space="preserve"> summary of the key settings for each of the deployment scenario under analysis is reported.  </w:t>
      </w:r>
    </w:p>
    <w:p w14:paraId="777D30F2" w14:textId="6C94BFCE" w:rsidR="00DD60AF" w:rsidRDefault="00DD60AF" w:rsidP="00E47D3E">
      <w:pPr>
        <w:pStyle w:val="Caption"/>
        <w:keepNext/>
        <w:jc w:val="center"/>
      </w:pPr>
      <w:bookmarkStart w:id="3" w:name="_Ref503359305"/>
      <w:r>
        <w:t xml:space="preserve">Table </w:t>
      </w:r>
      <w:r>
        <w:fldChar w:fldCharType="begin"/>
      </w:r>
      <w:r>
        <w:instrText xml:space="preserve"> SEQ Table \* ARABIC </w:instrText>
      </w:r>
      <w:r>
        <w:fldChar w:fldCharType="separate"/>
      </w:r>
      <w:r w:rsidR="002A1E25">
        <w:rPr>
          <w:noProof/>
        </w:rPr>
        <w:t>1</w:t>
      </w:r>
      <w:r>
        <w:fldChar w:fldCharType="end"/>
      </w:r>
      <w:bookmarkEnd w:id="3"/>
      <w:r>
        <w:t xml:space="preserve">. </w:t>
      </w:r>
      <w:r w:rsidR="00E47D3E">
        <w:t xml:space="preserve">Table </w:t>
      </w:r>
      <w:r w:rsidR="00E47D3E">
        <w:fldChar w:fldCharType="begin"/>
      </w:r>
      <w:r w:rsidR="00E47D3E">
        <w:instrText xml:space="preserve"> SEQ Table \* ARABIC </w:instrText>
      </w:r>
      <w:r w:rsidR="00E47D3E">
        <w:fldChar w:fldCharType="separate"/>
      </w:r>
      <w:r w:rsidR="00E47D3E">
        <w:rPr>
          <w:noProof/>
        </w:rPr>
        <w:t>1</w:t>
      </w:r>
      <w:r w:rsidR="00E47D3E">
        <w:fldChar w:fldCharType="end"/>
      </w:r>
      <w:r w:rsidR="00E47D3E">
        <w:t>. Parameters for different deployment scenarios.</w:t>
      </w:r>
    </w:p>
    <w:tbl>
      <w:tblPr>
        <w:tblStyle w:val="TableGrid"/>
        <w:tblW w:w="9621" w:type="dxa"/>
        <w:tblLook w:val="04A0" w:firstRow="1" w:lastRow="0" w:firstColumn="1" w:lastColumn="0" w:noHBand="0" w:noVBand="1"/>
      </w:tblPr>
      <w:tblGrid>
        <w:gridCol w:w="3207"/>
        <w:gridCol w:w="3207"/>
        <w:gridCol w:w="3207"/>
      </w:tblGrid>
      <w:tr w:rsidR="0056269B" w14:paraId="7595E334" w14:textId="6796A480" w:rsidTr="00FF38A3">
        <w:tc>
          <w:tcPr>
            <w:tcW w:w="3207" w:type="dxa"/>
          </w:tcPr>
          <w:p w14:paraId="1AB2EE63" w14:textId="2CFE4F64" w:rsidR="0056269B" w:rsidRPr="00FF38A3" w:rsidRDefault="0056269B" w:rsidP="0056269B">
            <w:pPr>
              <w:jc w:val="center"/>
              <w:rPr>
                <w:b/>
                <w:sz w:val="24"/>
                <w:szCs w:val="28"/>
                <w:lang w:val="en-US"/>
              </w:rPr>
            </w:pPr>
            <w:bookmarkStart w:id="4" w:name="_Hlk503533359"/>
            <w:bookmarkStart w:id="5" w:name="_Hlk503533384"/>
            <w:proofErr w:type="spellStart"/>
            <w:r>
              <w:rPr>
                <w:b/>
                <w:sz w:val="24"/>
                <w:szCs w:val="28"/>
                <w:lang w:val="en-US"/>
              </w:rPr>
              <w:t>InH</w:t>
            </w:r>
            <w:proofErr w:type="spellEnd"/>
          </w:p>
        </w:tc>
        <w:tc>
          <w:tcPr>
            <w:tcW w:w="3207" w:type="dxa"/>
          </w:tcPr>
          <w:p w14:paraId="5D6FFCF7" w14:textId="7942B32D" w:rsidR="0056269B" w:rsidRPr="00FF38A3" w:rsidRDefault="0056269B" w:rsidP="0056269B">
            <w:pPr>
              <w:jc w:val="center"/>
              <w:rPr>
                <w:sz w:val="24"/>
                <w:lang w:val="en-US"/>
              </w:rPr>
            </w:pPr>
            <w:proofErr w:type="spellStart"/>
            <w:r w:rsidRPr="00FF38A3">
              <w:rPr>
                <w:b/>
                <w:sz w:val="24"/>
                <w:szCs w:val="28"/>
                <w:lang w:val="en-US"/>
              </w:rPr>
              <w:t>UMi</w:t>
            </w:r>
            <w:proofErr w:type="spellEnd"/>
          </w:p>
        </w:tc>
        <w:tc>
          <w:tcPr>
            <w:tcW w:w="3207" w:type="dxa"/>
          </w:tcPr>
          <w:p w14:paraId="2A55D1A6" w14:textId="52D3B771" w:rsidR="0056269B" w:rsidRPr="0056269B" w:rsidRDefault="0056269B" w:rsidP="0056269B">
            <w:pPr>
              <w:jc w:val="center"/>
              <w:rPr>
                <w:b/>
                <w:sz w:val="24"/>
                <w:szCs w:val="28"/>
                <w:lang w:val="en-US"/>
              </w:rPr>
            </w:pPr>
            <w:proofErr w:type="spellStart"/>
            <w:r w:rsidRPr="007D48DA">
              <w:rPr>
                <w:b/>
                <w:sz w:val="24"/>
                <w:szCs w:val="28"/>
                <w:lang w:val="en-US"/>
              </w:rPr>
              <w:t>UMa</w:t>
            </w:r>
            <w:proofErr w:type="spellEnd"/>
          </w:p>
        </w:tc>
      </w:tr>
      <w:tr w:rsidR="0056269B" w14:paraId="4896DDE9" w14:textId="220AA777" w:rsidTr="00FF38A3">
        <w:tc>
          <w:tcPr>
            <w:tcW w:w="3207" w:type="dxa"/>
          </w:tcPr>
          <w:p w14:paraId="66E98151" w14:textId="2DF6D968" w:rsidR="0056269B" w:rsidRDefault="006970C9" w:rsidP="0056269B">
            <w:pPr>
              <w:jc w:val="center"/>
              <w:rPr>
                <w:lang w:val="en-US"/>
              </w:rPr>
            </w:pPr>
            <w:r>
              <w:rPr>
                <w:lang w:val="en-US"/>
              </w:rPr>
              <w:t>EIRP = [</w:t>
            </w:r>
            <w:r w:rsidR="0056269B">
              <w:rPr>
                <w:lang w:val="en-US"/>
              </w:rPr>
              <w:t>21.2 - 25.2] dBm</w:t>
            </w:r>
          </w:p>
        </w:tc>
        <w:tc>
          <w:tcPr>
            <w:tcW w:w="3207" w:type="dxa"/>
          </w:tcPr>
          <w:p w14:paraId="2712E2BC" w14:textId="333872FD" w:rsidR="0056269B" w:rsidRDefault="0056269B" w:rsidP="0056269B">
            <w:pPr>
              <w:jc w:val="center"/>
              <w:rPr>
                <w:lang w:val="en-US"/>
              </w:rPr>
            </w:pPr>
            <w:r>
              <w:rPr>
                <w:lang w:val="en-US"/>
              </w:rPr>
              <w:t>EIRP = [21.2 - 25.2] dBm</w:t>
            </w:r>
          </w:p>
        </w:tc>
        <w:tc>
          <w:tcPr>
            <w:tcW w:w="3207" w:type="dxa"/>
          </w:tcPr>
          <w:p w14:paraId="16B56346" w14:textId="17A02E94" w:rsidR="0056269B" w:rsidRDefault="0056269B" w:rsidP="0056269B">
            <w:pPr>
              <w:jc w:val="center"/>
              <w:rPr>
                <w:lang w:val="en-US"/>
              </w:rPr>
            </w:pPr>
            <w:r>
              <w:rPr>
                <w:lang w:val="en-US"/>
              </w:rPr>
              <w:t>EIRP = [21.2 - 25.2] dBm</w:t>
            </w:r>
          </w:p>
        </w:tc>
      </w:tr>
      <w:bookmarkEnd w:id="4"/>
      <w:tr w:rsidR="0056269B" w14:paraId="1D9D6F14" w14:textId="3153532E" w:rsidTr="00FF38A3">
        <w:tc>
          <w:tcPr>
            <w:tcW w:w="3207" w:type="dxa"/>
            <w:vMerge w:val="restart"/>
            <w:vAlign w:val="center"/>
          </w:tcPr>
          <w:p w14:paraId="123A2A1E" w14:textId="643074A7" w:rsidR="0056269B" w:rsidRDefault="0056269B" w:rsidP="0056269B">
            <w:pPr>
              <w:jc w:val="center"/>
              <w:rPr>
                <w:lang w:val="en-US"/>
              </w:rPr>
            </w:pPr>
            <w:r w:rsidRPr="0056269B">
              <w:rPr>
                <w:lang w:val="en-US"/>
              </w:rPr>
              <w:t>As defined in TR 38.803</w:t>
            </w:r>
          </w:p>
        </w:tc>
        <w:tc>
          <w:tcPr>
            <w:tcW w:w="3207" w:type="dxa"/>
          </w:tcPr>
          <w:p w14:paraId="5C6E8DD9" w14:textId="2DC68640" w:rsidR="0056269B" w:rsidRDefault="0056269B" w:rsidP="0056269B">
            <w:pPr>
              <w:jc w:val="center"/>
              <w:rPr>
                <w:lang w:val="en-US"/>
              </w:rPr>
            </w:pPr>
            <w:r>
              <w:rPr>
                <w:lang w:val="en-US"/>
              </w:rPr>
              <w:t xml:space="preserve">Hexagonal Layout </w:t>
            </w:r>
            <w:r>
              <w:rPr>
                <w:lang w:val="en-US"/>
              </w:rPr>
              <w:br/>
              <w:t xml:space="preserve"> ISD from 100</w:t>
            </w:r>
            <w:r w:rsidR="007C1963">
              <w:rPr>
                <w:lang w:val="en-US"/>
              </w:rPr>
              <w:t>m to 400</w:t>
            </w:r>
            <w:r>
              <w:rPr>
                <w:lang w:val="en-US"/>
              </w:rPr>
              <w:t>m</w:t>
            </w:r>
          </w:p>
        </w:tc>
        <w:tc>
          <w:tcPr>
            <w:tcW w:w="3207" w:type="dxa"/>
          </w:tcPr>
          <w:p w14:paraId="02629CBF" w14:textId="659B3B25" w:rsidR="0056269B" w:rsidRDefault="007C1963" w:rsidP="0056269B">
            <w:pPr>
              <w:jc w:val="center"/>
              <w:rPr>
                <w:lang w:val="en-US"/>
              </w:rPr>
            </w:pPr>
            <w:r>
              <w:rPr>
                <w:lang w:val="en-US"/>
              </w:rPr>
              <w:t>ISD from 200m to 500</w:t>
            </w:r>
            <w:r w:rsidR="0056269B">
              <w:rPr>
                <w:lang w:val="en-US"/>
              </w:rPr>
              <w:t>m</w:t>
            </w:r>
          </w:p>
        </w:tc>
      </w:tr>
      <w:tr w:rsidR="0056269B" w14:paraId="5E999A22" w14:textId="0B7FE089" w:rsidTr="007E53C2">
        <w:tc>
          <w:tcPr>
            <w:tcW w:w="3207" w:type="dxa"/>
            <w:vMerge/>
          </w:tcPr>
          <w:p w14:paraId="3BBB066B" w14:textId="7B393DDB" w:rsidR="0056269B" w:rsidRDefault="0056269B" w:rsidP="0056269B">
            <w:pPr>
              <w:jc w:val="center"/>
              <w:rPr>
                <w:lang w:val="en-US"/>
              </w:rPr>
            </w:pPr>
          </w:p>
        </w:tc>
        <w:tc>
          <w:tcPr>
            <w:tcW w:w="3207" w:type="dxa"/>
          </w:tcPr>
          <w:p w14:paraId="10F1FA89" w14:textId="54D9A789" w:rsidR="0056269B" w:rsidRDefault="0056269B" w:rsidP="0056269B">
            <w:pPr>
              <w:jc w:val="center"/>
              <w:rPr>
                <w:lang w:val="en-US"/>
              </w:rPr>
            </w:pPr>
            <w:r>
              <w:rPr>
                <w:lang w:val="en-US"/>
              </w:rPr>
              <w:t>10m antenna height</w:t>
            </w:r>
          </w:p>
        </w:tc>
        <w:tc>
          <w:tcPr>
            <w:tcW w:w="3207" w:type="dxa"/>
          </w:tcPr>
          <w:p w14:paraId="2B70FBE9" w14:textId="5424695E" w:rsidR="0056269B" w:rsidRDefault="0056269B" w:rsidP="0056269B">
            <w:pPr>
              <w:jc w:val="center"/>
              <w:rPr>
                <w:lang w:val="en-US"/>
              </w:rPr>
            </w:pPr>
            <w:r>
              <w:rPr>
                <w:lang w:val="en-US"/>
              </w:rPr>
              <w:t>25m antenna height</w:t>
            </w:r>
          </w:p>
        </w:tc>
      </w:tr>
      <w:tr w:rsidR="0056269B" w14:paraId="679A5C4C" w14:textId="75D1049F" w:rsidTr="007E53C2">
        <w:tc>
          <w:tcPr>
            <w:tcW w:w="3207" w:type="dxa"/>
            <w:vMerge/>
          </w:tcPr>
          <w:p w14:paraId="45BB0323" w14:textId="11031CF9" w:rsidR="0056269B" w:rsidRDefault="0056269B" w:rsidP="0056269B">
            <w:pPr>
              <w:jc w:val="center"/>
              <w:rPr>
                <w:lang w:val="en-US"/>
              </w:rPr>
            </w:pPr>
          </w:p>
        </w:tc>
        <w:tc>
          <w:tcPr>
            <w:tcW w:w="3207" w:type="dxa"/>
          </w:tcPr>
          <w:p w14:paraId="32742810" w14:textId="1C901F58" w:rsidR="0056269B" w:rsidRDefault="0056269B" w:rsidP="0056269B">
            <w:pPr>
              <w:jc w:val="center"/>
              <w:rPr>
                <w:lang w:val="en-US"/>
              </w:rPr>
            </w:pPr>
            <w:r>
              <w:rPr>
                <w:lang w:val="en-US"/>
              </w:rPr>
              <w:t xml:space="preserve">10m UE to BS </w:t>
            </w:r>
            <w:r>
              <w:rPr>
                <w:lang w:val="en-US"/>
              </w:rPr>
              <w:br/>
              <w:t>minimum 2D distance</w:t>
            </w:r>
          </w:p>
        </w:tc>
        <w:tc>
          <w:tcPr>
            <w:tcW w:w="3207" w:type="dxa"/>
          </w:tcPr>
          <w:p w14:paraId="59E0ECE3" w14:textId="1C9427FB" w:rsidR="0056269B" w:rsidRDefault="0056269B" w:rsidP="0056269B">
            <w:pPr>
              <w:jc w:val="center"/>
              <w:rPr>
                <w:lang w:val="en-US"/>
              </w:rPr>
            </w:pPr>
            <w:r>
              <w:rPr>
                <w:lang w:val="en-US"/>
              </w:rPr>
              <w:t xml:space="preserve">25m UE to BS </w:t>
            </w:r>
            <w:r>
              <w:rPr>
                <w:lang w:val="en-US"/>
              </w:rPr>
              <w:br/>
              <w:t>minimum 2D distance</w:t>
            </w:r>
          </w:p>
        </w:tc>
      </w:tr>
      <w:tr w:rsidR="0056269B" w14:paraId="6050150C" w14:textId="3D5ED02F" w:rsidTr="007E53C2">
        <w:tc>
          <w:tcPr>
            <w:tcW w:w="3207" w:type="dxa"/>
            <w:vMerge/>
          </w:tcPr>
          <w:p w14:paraId="64528C75" w14:textId="67C68AB8" w:rsidR="0056269B" w:rsidRDefault="0056269B" w:rsidP="0056269B">
            <w:pPr>
              <w:jc w:val="center"/>
              <w:rPr>
                <w:lang w:val="en-US"/>
              </w:rPr>
            </w:pPr>
          </w:p>
        </w:tc>
        <w:tc>
          <w:tcPr>
            <w:tcW w:w="3207" w:type="dxa"/>
          </w:tcPr>
          <w:p w14:paraId="4DE341B7" w14:textId="6FB020ED" w:rsidR="0056269B" w:rsidRDefault="0056269B" w:rsidP="0056269B">
            <w:pPr>
              <w:jc w:val="center"/>
              <w:rPr>
                <w:lang w:val="en-US"/>
              </w:rPr>
            </w:pPr>
            <w:r>
              <w:rPr>
                <w:lang w:val="en-US"/>
              </w:rPr>
              <w:t xml:space="preserve">Indoor/Outdoor UE ratio </w:t>
            </w:r>
            <w:r>
              <w:rPr>
                <w:lang w:val="en-US"/>
              </w:rPr>
              <w:br/>
              <w:t>0%</w:t>
            </w:r>
            <w:r w:rsidR="003338EE">
              <w:rPr>
                <w:lang w:val="en-US"/>
              </w:rPr>
              <w:t>,</w:t>
            </w:r>
            <w:r>
              <w:rPr>
                <w:lang w:val="en-US"/>
              </w:rPr>
              <w:t xml:space="preserve"> 20%</w:t>
            </w:r>
            <w:r w:rsidR="003338EE">
              <w:rPr>
                <w:lang w:val="en-US"/>
              </w:rPr>
              <w:t xml:space="preserve"> and 80%</w:t>
            </w:r>
          </w:p>
        </w:tc>
        <w:tc>
          <w:tcPr>
            <w:tcW w:w="3207" w:type="dxa"/>
          </w:tcPr>
          <w:p w14:paraId="23335C28" w14:textId="001ABBF2" w:rsidR="0056269B" w:rsidRDefault="0056269B" w:rsidP="0056269B">
            <w:pPr>
              <w:jc w:val="center"/>
              <w:rPr>
                <w:lang w:val="en-US"/>
              </w:rPr>
            </w:pPr>
            <w:r>
              <w:rPr>
                <w:lang w:val="en-US"/>
              </w:rPr>
              <w:t xml:space="preserve">Indoor/Outdoor UE ratio </w:t>
            </w:r>
            <w:r>
              <w:rPr>
                <w:lang w:val="en-US"/>
              </w:rPr>
              <w:br/>
              <w:t>0%</w:t>
            </w:r>
            <w:r w:rsidR="003338EE">
              <w:rPr>
                <w:lang w:val="en-US"/>
              </w:rPr>
              <w:t>,</w:t>
            </w:r>
            <w:r>
              <w:rPr>
                <w:lang w:val="en-US"/>
              </w:rPr>
              <w:t xml:space="preserve"> 20%</w:t>
            </w:r>
            <w:r w:rsidR="003338EE">
              <w:rPr>
                <w:lang w:val="en-US"/>
              </w:rPr>
              <w:t xml:space="preserve"> and 80%</w:t>
            </w:r>
          </w:p>
        </w:tc>
      </w:tr>
      <w:tr w:rsidR="0056269B" w14:paraId="50BA250D" w14:textId="422C5EBC" w:rsidTr="007E53C2">
        <w:tc>
          <w:tcPr>
            <w:tcW w:w="3207" w:type="dxa"/>
            <w:vMerge/>
          </w:tcPr>
          <w:p w14:paraId="1A521A30" w14:textId="62E814A9" w:rsidR="0056269B" w:rsidRDefault="0056269B" w:rsidP="0056269B">
            <w:pPr>
              <w:jc w:val="center"/>
              <w:rPr>
                <w:lang w:val="en-US"/>
              </w:rPr>
            </w:pPr>
          </w:p>
        </w:tc>
        <w:tc>
          <w:tcPr>
            <w:tcW w:w="3207" w:type="dxa"/>
          </w:tcPr>
          <w:p w14:paraId="5AC3527E" w14:textId="72A0C81C" w:rsidR="0056269B" w:rsidRDefault="0056269B" w:rsidP="0056269B">
            <w:pPr>
              <w:jc w:val="center"/>
              <w:rPr>
                <w:lang w:val="en-US"/>
              </w:rPr>
            </w:pPr>
            <w:r>
              <w:rPr>
                <w:lang w:val="en-US"/>
              </w:rPr>
              <w:t>All other parameters as defined in TR 38.803</w:t>
            </w:r>
          </w:p>
        </w:tc>
        <w:tc>
          <w:tcPr>
            <w:tcW w:w="3207" w:type="dxa"/>
          </w:tcPr>
          <w:p w14:paraId="6DDB7259" w14:textId="18C45068" w:rsidR="0056269B" w:rsidRDefault="0056269B" w:rsidP="0056269B">
            <w:pPr>
              <w:jc w:val="center"/>
              <w:rPr>
                <w:lang w:val="en-US"/>
              </w:rPr>
            </w:pPr>
            <w:r>
              <w:rPr>
                <w:lang w:val="en-US"/>
              </w:rPr>
              <w:t>All other parameters as defined in TR 38.803</w:t>
            </w:r>
          </w:p>
        </w:tc>
      </w:tr>
      <w:bookmarkEnd w:id="5"/>
    </w:tbl>
    <w:p w14:paraId="7785EE9C" w14:textId="77777777" w:rsidR="004D13F0" w:rsidRDefault="004D13F0" w:rsidP="002D4D1D">
      <w:pPr>
        <w:jc w:val="both"/>
        <w:rPr>
          <w:lang w:val="en-US"/>
        </w:rPr>
      </w:pPr>
    </w:p>
    <w:p w14:paraId="73FB77F0" w14:textId="24E0F86A" w:rsidR="00C83FBF" w:rsidRDefault="00DD60AF" w:rsidP="002D4D1D">
      <w:pPr>
        <w:jc w:val="both"/>
        <w:rPr>
          <w:lang w:val="en-US"/>
        </w:rPr>
      </w:pPr>
      <w:r>
        <w:rPr>
          <w:lang w:val="en-US"/>
        </w:rPr>
        <w:t xml:space="preserve">Moreover, </w:t>
      </w:r>
      <w:proofErr w:type="gramStart"/>
      <w:r>
        <w:rPr>
          <w:lang w:val="en-US"/>
        </w:rPr>
        <w:t>in order to</w:t>
      </w:r>
      <w:proofErr w:type="gramEnd"/>
      <w:r>
        <w:rPr>
          <w:lang w:val="en-US"/>
        </w:rPr>
        <w:t xml:space="preserve"> characterize UE behavior more accurately, </w:t>
      </w:r>
      <w:r w:rsidR="0056269B">
        <w:rPr>
          <w:lang w:val="en-US"/>
        </w:rPr>
        <w:t xml:space="preserve">for all deployment scenarios </w:t>
      </w:r>
      <w:r>
        <w:rPr>
          <w:lang w:val="en-US"/>
        </w:rPr>
        <w:t xml:space="preserve">the following modification </w:t>
      </w:r>
      <w:r w:rsidR="0056269B">
        <w:rPr>
          <w:lang w:val="en-US"/>
        </w:rPr>
        <w:t>compared to TR 38.803</w:t>
      </w:r>
      <w:r>
        <w:rPr>
          <w:lang w:val="en-US"/>
        </w:rPr>
        <w:t xml:space="preserve"> are considered:</w:t>
      </w:r>
    </w:p>
    <w:p w14:paraId="6CA4EDE6" w14:textId="21DA077D" w:rsidR="00DD60AF" w:rsidRPr="00FF38A3" w:rsidRDefault="00DD60AF" w:rsidP="00DD60AF">
      <w:pPr>
        <w:pStyle w:val="ListParagraph"/>
        <w:numPr>
          <w:ilvl w:val="0"/>
          <w:numId w:val="36"/>
        </w:numPr>
        <w:jc w:val="both"/>
        <w:rPr>
          <w:lang w:val="en-US"/>
        </w:rPr>
      </w:pPr>
      <w:r w:rsidRPr="00FF38A3">
        <w:rPr>
          <w:lang w:val="en-US"/>
        </w:rPr>
        <w:t>UE resource allocation: 20 MHz</w:t>
      </w:r>
      <w:r w:rsidR="00D07B4F">
        <w:rPr>
          <w:lang w:val="en-US"/>
        </w:rPr>
        <w:t xml:space="preserve"> </w:t>
      </w:r>
      <w:r w:rsidR="007C1963">
        <w:rPr>
          <w:lang w:val="en-US"/>
        </w:rPr>
        <w:t>(200MHz will be provided later or in future meetings)</w:t>
      </w:r>
    </w:p>
    <w:p w14:paraId="62B32E1D" w14:textId="65A6C103" w:rsidR="00DD60AF" w:rsidRPr="00FF38A3" w:rsidRDefault="00DD60AF" w:rsidP="00DD60AF">
      <w:pPr>
        <w:pStyle w:val="ListParagraph"/>
        <w:numPr>
          <w:ilvl w:val="0"/>
          <w:numId w:val="36"/>
        </w:numPr>
        <w:jc w:val="both"/>
        <w:rPr>
          <w:lang w:val="en-US"/>
        </w:rPr>
      </w:pPr>
      <w:r w:rsidRPr="00FF38A3">
        <w:rPr>
          <w:lang w:val="en-US"/>
        </w:rPr>
        <w:t>Power control SINR target: 22 dB</w:t>
      </w:r>
    </w:p>
    <w:p w14:paraId="66C6792E" w14:textId="49478D5F" w:rsidR="00DD60AF" w:rsidRPr="00FF38A3" w:rsidRDefault="00DD60AF" w:rsidP="00DD60AF">
      <w:pPr>
        <w:pStyle w:val="ListParagraph"/>
        <w:numPr>
          <w:ilvl w:val="0"/>
          <w:numId w:val="36"/>
        </w:numPr>
        <w:jc w:val="both"/>
        <w:rPr>
          <w:lang w:val="en-US"/>
        </w:rPr>
      </w:pPr>
      <w:r w:rsidRPr="00FF38A3">
        <w:rPr>
          <w:lang w:val="en-US"/>
        </w:rPr>
        <w:t xml:space="preserve">UE elevation follows a Gaussian distribution </w:t>
      </w:r>
      <w:r w:rsidR="0056269B">
        <w:rPr>
          <w:lang w:val="en-US"/>
        </w:rPr>
        <w:t>centered at</w:t>
      </w:r>
      <w:r w:rsidR="0056269B" w:rsidRPr="00FF38A3">
        <w:rPr>
          <w:lang w:val="en-US"/>
        </w:rPr>
        <w:t xml:space="preserve"> </w:t>
      </w:r>
      <m:oMath>
        <m:r>
          <w:rPr>
            <w:rFonts w:ascii="Cambria Math" w:hAnsi="Cambria Math"/>
            <w:lang w:val="en-US"/>
          </w:rPr>
          <m:t>45°</m:t>
        </m:r>
      </m:oMath>
      <w:r w:rsidRPr="00FF38A3">
        <w:rPr>
          <w:lang w:val="en-US"/>
        </w:rPr>
        <w:t xml:space="preserve"> with a standard deviation </w:t>
      </w:r>
      <m:oMath>
        <m:r>
          <w:rPr>
            <w:rFonts w:ascii="Cambria Math" w:hAnsi="Cambria Math"/>
            <w:lang w:val="en-US"/>
          </w:rPr>
          <m:t>σ=10°</m:t>
        </m:r>
      </m:oMath>
    </w:p>
    <w:p w14:paraId="3BAF1FB3" w14:textId="2F0069D8" w:rsidR="009175DC" w:rsidRDefault="003A317B" w:rsidP="00F33FEA">
      <w:pPr>
        <w:jc w:val="both"/>
      </w:pPr>
      <w:r>
        <w:t xml:space="preserve">Since at mmW frequencies losses deriving from hand blockage </w:t>
      </w:r>
      <w:r w:rsidR="00905648">
        <w:t>become relevant</w:t>
      </w:r>
      <w:r>
        <w:t>,</w:t>
      </w:r>
      <w:r w:rsidR="002E7B92">
        <w:t xml:space="preserve"> </w:t>
      </w:r>
      <w:r w:rsidR="002E7B92" w:rsidRPr="00FF38A3">
        <w:t>a</w:t>
      </w:r>
      <w:r w:rsidRPr="00FF38A3">
        <w:t xml:space="preserve">n angular </w:t>
      </w:r>
      <w:r w:rsidR="002E7B92" w:rsidRPr="00FF38A3">
        <w:t>blockage model has been adopted</w:t>
      </w:r>
      <w:r w:rsidR="002E7B92">
        <w:t xml:space="preserve"> </w:t>
      </w:r>
      <w:r>
        <w:t xml:space="preserve">with details broadly discussed in </w:t>
      </w:r>
      <w:r w:rsidR="0056269B">
        <w:fldChar w:fldCharType="begin"/>
      </w:r>
      <w:r w:rsidR="0056269B">
        <w:instrText xml:space="preserve"> REF _Ref503532331 \r \h </w:instrText>
      </w:r>
      <w:r w:rsidR="0056269B">
        <w:fldChar w:fldCharType="separate"/>
      </w:r>
      <w:r w:rsidR="002A1E25">
        <w:t>[2]</w:t>
      </w:r>
      <w:r w:rsidR="0056269B">
        <w:fldChar w:fldCharType="end"/>
      </w:r>
      <w:r w:rsidR="0056269B">
        <w:t xml:space="preserve"> and </w:t>
      </w:r>
      <w:r w:rsidR="0056269B">
        <w:fldChar w:fldCharType="begin"/>
      </w:r>
      <w:r w:rsidR="0056269B">
        <w:instrText xml:space="preserve"> REF _Ref503533875 \r \h </w:instrText>
      </w:r>
      <w:r w:rsidR="0056269B">
        <w:fldChar w:fldCharType="separate"/>
      </w:r>
      <w:r w:rsidR="002A1E25">
        <w:t>[5]</w:t>
      </w:r>
      <w:r w:rsidR="0056269B">
        <w:fldChar w:fldCharType="end"/>
      </w:r>
      <w:r>
        <w:t xml:space="preserve">. </w:t>
      </w:r>
      <w:proofErr w:type="gramStart"/>
      <w:r>
        <w:t>In particular, UEs</w:t>
      </w:r>
      <w:proofErr w:type="gramEnd"/>
      <w:r>
        <w:t xml:space="preserve"> were considered to be held in Portrait mode </w:t>
      </w:r>
      <w:r w:rsidR="00905648">
        <w:t xml:space="preserve">and subject to a log-normal additional loss with mean </w:t>
      </w:r>
      <m:oMath>
        <m:r>
          <w:rPr>
            <w:rFonts w:ascii="Cambria Math" w:hAnsi="Cambria Math"/>
          </w:rPr>
          <m:t>μ=15.26 dB</m:t>
        </m:r>
      </m:oMath>
      <w:r w:rsidR="00905648">
        <w:t xml:space="preserve"> and </w:t>
      </w:r>
      <w:r>
        <w:t xml:space="preserve"> </w:t>
      </w:r>
      <m:oMath>
        <m:r>
          <w:rPr>
            <w:rFonts w:ascii="Cambria Math" w:hAnsi="Cambria Math"/>
          </w:rPr>
          <m:t>σ=3.8 dB</m:t>
        </m:r>
      </m:oMath>
      <w:r w:rsidR="00905648">
        <w:t>. Such mean and</w:t>
      </w:r>
      <w:r w:rsidR="007C1963">
        <w:t xml:space="preserve"> standard</w:t>
      </w:r>
      <w:r w:rsidR="00905648">
        <w:t xml:space="preserve"> deviation values were derived from a fitting of a measurement campaign </w:t>
      </w:r>
      <w:r w:rsidR="0056269B">
        <w:fldChar w:fldCharType="begin"/>
      </w:r>
      <w:r w:rsidR="0056269B">
        <w:instrText xml:space="preserve"> REF _Ref503533875 \r \h </w:instrText>
      </w:r>
      <w:r w:rsidR="0056269B">
        <w:fldChar w:fldCharType="separate"/>
      </w:r>
      <w:r w:rsidR="002A1E25">
        <w:t>[5]</w:t>
      </w:r>
      <w:r w:rsidR="0056269B">
        <w:fldChar w:fldCharType="end"/>
      </w:r>
      <w:r w:rsidR="00905648">
        <w:t xml:space="preserve"> and capture a more realistic view of diffraction loss with hand in many real use-cases.</w:t>
      </w:r>
    </w:p>
    <w:p w14:paraId="13E37EA0" w14:textId="0BAE8CE8" w:rsidR="009175DC" w:rsidRDefault="009175DC" w:rsidP="009175DC">
      <w:pPr>
        <w:pStyle w:val="Heading2"/>
        <w:rPr>
          <w:lang w:val="en-US"/>
        </w:rPr>
      </w:pPr>
      <w:r>
        <w:rPr>
          <w:lang w:val="en-US"/>
        </w:rPr>
        <w:t xml:space="preserve">Simulation results </w:t>
      </w:r>
    </w:p>
    <w:p w14:paraId="35A8B106" w14:textId="0525A473" w:rsidR="0056269B" w:rsidRDefault="009175DC" w:rsidP="00F33FEA">
      <w:r>
        <w:t xml:space="preserve">In the following sections, we consider simulation results </w:t>
      </w:r>
      <w:r w:rsidR="00EC0186">
        <w:t>for all three deployment scenarios</w:t>
      </w:r>
      <w:r>
        <w:t xml:space="preserve">. The focus is on the impact </w:t>
      </w:r>
      <w:r w:rsidR="00EC0186">
        <w:t>of UE peak EIRP on NR network performance</w:t>
      </w:r>
      <w:r>
        <w:t>.</w:t>
      </w:r>
      <w:r w:rsidR="0056269B">
        <w:t xml:space="preserve"> The metric</w:t>
      </w:r>
      <w:r w:rsidR="00A63BEE">
        <w:t>s</w:t>
      </w:r>
      <w:r w:rsidR="0056269B">
        <w:t xml:space="preserve"> adopted are the following:</w:t>
      </w:r>
    </w:p>
    <w:p w14:paraId="197D85E3" w14:textId="22DB427D" w:rsidR="009175DC" w:rsidRDefault="0056269B" w:rsidP="00FF38A3">
      <w:pPr>
        <w:pStyle w:val="ListParagraph"/>
        <w:numPr>
          <w:ilvl w:val="0"/>
          <w:numId w:val="38"/>
        </w:numPr>
      </w:pPr>
      <w:r>
        <w:t>SINR</w:t>
      </w:r>
    </w:p>
    <w:p w14:paraId="6B23794C" w14:textId="77777777" w:rsidR="00AA3E8F" w:rsidRDefault="0056269B" w:rsidP="00FF38A3">
      <w:pPr>
        <w:pStyle w:val="ListParagraph"/>
        <w:numPr>
          <w:ilvl w:val="0"/>
          <w:numId w:val="38"/>
        </w:numPr>
      </w:pPr>
      <w:r>
        <w:t xml:space="preserve">Throughput </w:t>
      </w:r>
      <w:r w:rsidR="00413245">
        <w:t>(both 50% and 5% percentiles)</w:t>
      </w:r>
    </w:p>
    <w:p w14:paraId="1168B862" w14:textId="4CE74F21" w:rsidR="00413245" w:rsidRDefault="00413245" w:rsidP="00FF38A3">
      <w:pPr>
        <w:pStyle w:val="ListParagraph"/>
        <w:numPr>
          <w:ilvl w:val="0"/>
          <w:numId w:val="38"/>
        </w:numPr>
      </w:pPr>
      <w:r>
        <w:t>Outage. As specified in TR 38.803 a UE is considered in outage when UL SINR is less than 10dB</w:t>
      </w:r>
    </w:p>
    <w:p w14:paraId="3E9E2618" w14:textId="61C28E7E" w:rsidR="0056269B" w:rsidRDefault="00413245" w:rsidP="00413245">
      <w:proofErr w:type="gramStart"/>
      <w:r>
        <w:t>In order to</w:t>
      </w:r>
      <w:proofErr w:type="gramEnd"/>
      <w:r>
        <w:t xml:space="preserve"> present the results in a compact format we will show the loss in performance of 21.2dBm EIRP compared to 25.2dBm.</w:t>
      </w:r>
    </w:p>
    <w:p w14:paraId="7F860D0F" w14:textId="3831E780" w:rsidR="009175DC" w:rsidRDefault="009175DC" w:rsidP="00F33FEA">
      <w:pPr>
        <w:pStyle w:val="Heading3"/>
        <w:rPr>
          <w:lang w:val="en-US"/>
        </w:rPr>
      </w:pPr>
      <w:bookmarkStart w:id="6" w:name="_Ref498606337"/>
      <w:r>
        <w:rPr>
          <w:lang w:val="en-US"/>
        </w:rPr>
        <w:t>Results</w:t>
      </w:r>
      <w:bookmarkEnd w:id="6"/>
      <w:r w:rsidR="00EC0186">
        <w:rPr>
          <w:lang w:val="en-US"/>
        </w:rPr>
        <w:t xml:space="preserve"> </w:t>
      </w:r>
      <w:proofErr w:type="spellStart"/>
      <w:r w:rsidR="00EC0186">
        <w:rPr>
          <w:lang w:val="en-US"/>
        </w:rPr>
        <w:t>InH</w:t>
      </w:r>
      <w:proofErr w:type="spellEnd"/>
    </w:p>
    <w:p w14:paraId="34F0CC4B" w14:textId="47CC16C2" w:rsidR="006934D1" w:rsidRDefault="00282860" w:rsidP="00FF38A3">
      <w:pPr>
        <w:jc w:val="both"/>
        <w:rPr>
          <w:lang w:val="en-US"/>
        </w:rPr>
      </w:pPr>
      <w:r>
        <w:rPr>
          <w:lang w:val="en-US"/>
        </w:rPr>
        <w:fldChar w:fldCharType="begin"/>
      </w:r>
      <w:r>
        <w:rPr>
          <w:lang w:val="en-US"/>
        </w:rPr>
        <w:instrText xml:space="preserve"> REF _Ref498350181 \h </w:instrText>
      </w:r>
      <w:r w:rsidR="006934D1">
        <w:rPr>
          <w:lang w:val="en-US"/>
        </w:rPr>
        <w:instrText xml:space="preserve"> \* MERGEFORMAT </w:instrText>
      </w:r>
      <w:r>
        <w:rPr>
          <w:lang w:val="en-US"/>
        </w:rPr>
      </w:r>
      <w:r>
        <w:rPr>
          <w:lang w:val="en-US"/>
        </w:rPr>
        <w:fldChar w:fldCharType="separate"/>
      </w:r>
      <w:r w:rsidR="002A1E25">
        <w:t xml:space="preserve">Figure </w:t>
      </w:r>
      <w:r w:rsidR="002A1E25">
        <w:rPr>
          <w:noProof/>
        </w:rPr>
        <w:t>1</w:t>
      </w:r>
      <w:r>
        <w:rPr>
          <w:lang w:val="en-US"/>
        </w:rPr>
        <w:fldChar w:fldCharType="end"/>
      </w:r>
      <w:r w:rsidR="00525799">
        <w:rPr>
          <w:lang w:val="en-US"/>
        </w:rPr>
        <w:t xml:space="preserve"> shows the SINR Cumulative Distribution Function (CDF) in an indoor setting. The comparison is between UE peak EIRP of 21.2 dBm and UE peak EIRP of 25.2 dBm</w:t>
      </w:r>
      <w:r w:rsidR="00D07B4F">
        <w:rPr>
          <w:lang w:val="en-US"/>
        </w:rPr>
        <w:t>, considering an UL transmission bandwidth of 20MHz</w:t>
      </w:r>
      <w:r w:rsidR="00525799">
        <w:rPr>
          <w:lang w:val="en-US"/>
        </w:rPr>
        <w:t xml:space="preserve">. </w:t>
      </w:r>
      <w:r w:rsidR="00D07B4F">
        <w:rPr>
          <w:lang w:val="en-US"/>
        </w:rPr>
        <w:t xml:space="preserve">In this scenario, </w:t>
      </w:r>
      <w:r w:rsidR="00525799">
        <w:rPr>
          <w:lang w:val="en-US"/>
        </w:rPr>
        <w:t xml:space="preserve">the </w:t>
      </w:r>
      <w:r w:rsidR="006934D1">
        <w:rPr>
          <w:lang w:val="en-US"/>
        </w:rPr>
        <w:t xml:space="preserve">difference between 21.2dBm and 25.2dBm </w:t>
      </w:r>
      <w:r w:rsidR="00525799">
        <w:rPr>
          <w:lang w:val="en-US"/>
        </w:rPr>
        <w:t xml:space="preserve">is </w:t>
      </w:r>
      <w:r w:rsidR="006934D1">
        <w:rPr>
          <w:lang w:val="en-US"/>
        </w:rPr>
        <w:t>negligible</w:t>
      </w:r>
      <w:r w:rsidR="00525799">
        <w:rPr>
          <w:lang w:val="en-US"/>
        </w:rPr>
        <w:t>.</w:t>
      </w:r>
      <w:r w:rsidR="006934D1">
        <w:rPr>
          <w:lang w:val="en-US"/>
        </w:rPr>
        <w:t xml:space="preserve"> These results differ from our analysis in </w:t>
      </w:r>
      <w:r w:rsidR="006934D1">
        <w:rPr>
          <w:lang w:val="en-US"/>
        </w:rPr>
        <w:fldChar w:fldCharType="begin"/>
      </w:r>
      <w:r w:rsidR="006934D1">
        <w:rPr>
          <w:lang w:val="en-US"/>
        </w:rPr>
        <w:instrText xml:space="preserve"> REF _Ref503535535 \r \h  \* MERGEFORMAT </w:instrText>
      </w:r>
      <w:r w:rsidR="006934D1">
        <w:rPr>
          <w:lang w:val="en-US"/>
        </w:rPr>
      </w:r>
      <w:r w:rsidR="006934D1">
        <w:rPr>
          <w:lang w:val="en-US"/>
        </w:rPr>
        <w:fldChar w:fldCharType="separate"/>
      </w:r>
      <w:r w:rsidR="002A1E25">
        <w:rPr>
          <w:lang w:val="en-US"/>
        </w:rPr>
        <w:t>[6]</w:t>
      </w:r>
      <w:r w:rsidR="006934D1">
        <w:rPr>
          <w:lang w:val="en-US"/>
        </w:rPr>
        <w:fldChar w:fldCharType="end"/>
      </w:r>
      <w:r w:rsidR="006934D1">
        <w:rPr>
          <w:lang w:val="en-US"/>
        </w:rPr>
        <w:t xml:space="preserve"> where we</w:t>
      </w:r>
      <w:r w:rsidR="007C1963">
        <w:rPr>
          <w:lang w:val="en-US"/>
        </w:rPr>
        <w:t xml:space="preserve"> also</w:t>
      </w:r>
      <w:r w:rsidR="006934D1">
        <w:rPr>
          <w:lang w:val="en-US"/>
        </w:rPr>
        <w:t xml:space="preserve"> showed degradation 50% and 5% degradation. Compared to our previous analysis, results presented in this paper consider only one angular region blocked by the hand. </w:t>
      </w:r>
      <w:proofErr w:type="gramStart"/>
      <w:r w:rsidR="006934D1">
        <w:rPr>
          <w:lang w:val="en-US"/>
        </w:rPr>
        <w:t>As a consequence</w:t>
      </w:r>
      <w:proofErr w:type="gramEnd"/>
      <w:r w:rsidR="006934D1">
        <w:rPr>
          <w:lang w:val="en-US"/>
        </w:rPr>
        <w:t>, the results can be explained as follows:</w:t>
      </w:r>
    </w:p>
    <w:p w14:paraId="5CB0D074" w14:textId="2797B9F2" w:rsidR="006C7E1D" w:rsidRDefault="006C7E1D" w:rsidP="00FF38A3">
      <w:pPr>
        <w:pStyle w:val="ListParagraph"/>
        <w:numPr>
          <w:ilvl w:val="0"/>
          <w:numId w:val="40"/>
        </w:numPr>
        <w:jc w:val="both"/>
        <w:rPr>
          <w:lang w:val="en-US"/>
        </w:rPr>
      </w:pPr>
      <w:r>
        <w:rPr>
          <w:lang w:val="en-US"/>
        </w:rPr>
        <w:t xml:space="preserve">When a fixed (over the entire sphere) blockage is considered, co-channel interference becomes negligible and the system becomes noise limited. Under these conditions peak EIRP has a large impact even in </w:t>
      </w:r>
      <w:proofErr w:type="spellStart"/>
      <w:r>
        <w:rPr>
          <w:lang w:val="en-US"/>
        </w:rPr>
        <w:t>InH</w:t>
      </w:r>
      <w:proofErr w:type="spellEnd"/>
      <w:r>
        <w:rPr>
          <w:lang w:val="en-US"/>
        </w:rPr>
        <w:t xml:space="preserve"> as shown in </w:t>
      </w:r>
      <w:r>
        <w:rPr>
          <w:lang w:val="en-US"/>
        </w:rPr>
        <w:fldChar w:fldCharType="begin"/>
      </w:r>
      <w:r>
        <w:rPr>
          <w:lang w:val="en-US"/>
        </w:rPr>
        <w:instrText xml:space="preserve"> REF _Ref503535535 \r \h  \* MERGEFORMAT </w:instrText>
      </w:r>
      <w:r>
        <w:rPr>
          <w:lang w:val="en-US"/>
        </w:rPr>
      </w:r>
      <w:r>
        <w:rPr>
          <w:lang w:val="en-US"/>
        </w:rPr>
        <w:fldChar w:fldCharType="separate"/>
      </w:r>
      <w:r w:rsidR="002A1E25">
        <w:rPr>
          <w:lang w:val="en-US"/>
        </w:rPr>
        <w:t>[6]</w:t>
      </w:r>
      <w:r>
        <w:rPr>
          <w:lang w:val="en-US"/>
        </w:rPr>
        <w:fldChar w:fldCharType="end"/>
      </w:r>
    </w:p>
    <w:p w14:paraId="4B9DCB21" w14:textId="70CF852C" w:rsidR="006934D1" w:rsidRPr="006934D1" w:rsidRDefault="006934D1" w:rsidP="00FF38A3">
      <w:pPr>
        <w:pStyle w:val="ListParagraph"/>
        <w:numPr>
          <w:ilvl w:val="0"/>
          <w:numId w:val="40"/>
        </w:numPr>
        <w:jc w:val="both"/>
        <w:rPr>
          <w:lang w:val="en-US"/>
        </w:rPr>
      </w:pPr>
      <w:r>
        <w:rPr>
          <w:lang w:val="en-US"/>
        </w:rPr>
        <w:t>When only one angular region is selected</w:t>
      </w:r>
      <w:r w:rsidR="00B612EA">
        <w:rPr>
          <w:lang w:val="en-US"/>
        </w:rPr>
        <w:t xml:space="preserve"> and two panels are available</w:t>
      </w:r>
      <w:r w:rsidR="006C7E1D">
        <w:rPr>
          <w:lang w:val="en-US"/>
        </w:rPr>
        <w:t>, the best panel is always selected, therefore the actual loss in the link is much lower compare</w:t>
      </w:r>
      <w:r w:rsidR="00A63BEE">
        <w:rPr>
          <w:lang w:val="en-US"/>
        </w:rPr>
        <w:t>d</w:t>
      </w:r>
      <w:r w:rsidR="006C7E1D">
        <w:rPr>
          <w:lang w:val="en-US"/>
        </w:rPr>
        <w:t xml:space="preserve"> to a full blockage. In this case the system become</w:t>
      </w:r>
      <w:r w:rsidR="00A63BEE">
        <w:rPr>
          <w:lang w:val="en-US"/>
        </w:rPr>
        <w:t>s</w:t>
      </w:r>
      <w:r w:rsidR="006C7E1D">
        <w:rPr>
          <w:lang w:val="en-US"/>
        </w:rPr>
        <w:t xml:space="preserve"> less sensitive to peak EIRP as shown in </w:t>
      </w:r>
      <w:r w:rsidR="006C7E1D">
        <w:rPr>
          <w:lang w:val="en-US"/>
        </w:rPr>
        <w:fldChar w:fldCharType="begin"/>
      </w:r>
      <w:r w:rsidR="006C7E1D">
        <w:rPr>
          <w:lang w:val="en-US"/>
        </w:rPr>
        <w:instrText xml:space="preserve"> REF _Ref498350181 \h  \* MERGEFORMAT </w:instrText>
      </w:r>
      <w:r w:rsidR="006C7E1D">
        <w:rPr>
          <w:lang w:val="en-US"/>
        </w:rPr>
      </w:r>
      <w:r w:rsidR="006C7E1D">
        <w:rPr>
          <w:lang w:val="en-US"/>
        </w:rPr>
        <w:fldChar w:fldCharType="separate"/>
      </w:r>
      <w:r w:rsidR="002A1E25">
        <w:t xml:space="preserve">Figure </w:t>
      </w:r>
      <w:r w:rsidR="002A1E25">
        <w:rPr>
          <w:noProof/>
        </w:rPr>
        <w:t>1</w:t>
      </w:r>
      <w:r w:rsidR="006C7E1D">
        <w:rPr>
          <w:lang w:val="en-US"/>
        </w:rPr>
        <w:fldChar w:fldCharType="end"/>
      </w:r>
      <w:r w:rsidR="006C7E1D">
        <w:rPr>
          <w:lang w:val="en-US"/>
        </w:rPr>
        <w:t>.</w:t>
      </w:r>
      <w:r w:rsidR="00B612EA">
        <w:rPr>
          <w:lang w:val="en-US"/>
        </w:rPr>
        <w:t xml:space="preserve"> </w:t>
      </w:r>
      <w:r>
        <w:rPr>
          <w:lang w:val="en-US"/>
        </w:rPr>
        <w:t xml:space="preserve"> </w:t>
      </w:r>
    </w:p>
    <w:p w14:paraId="0015E65E" w14:textId="5CB7A120" w:rsidR="006C7E1D" w:rsidRDefault="006C7E1D" w:rsidP="005A2EEF">
      <w:pPr>
        <w:jc w:val="both"/>
        <w:rPr>
          <w:lang w:val="en-US"/>
        </w:rPr>
      </w:pPr>
      <w:r>
        <w:rPr>
          <w:lang w:val="en-US"/>
        </w:rPr>
        <w:t xml:space="preserve">Because of the last bullet, it is expected that spherical coverage has significant impact in </w:t>
      </w:r>
      <w:proofErr w:type="spellStart"/>
      <w:r>
        <w:rPr>
          <w:lang w:val="en-US"/>
        </w:rPr>
        <w:t>InH</w:t>
      </w:r>
      <w:proofErr w:type="spellEnd"/>
      <w:r>
        <w:rPr>
          <w:lang w:val="en-US"/>
        </w:rPr>
        <w:t xml:space="preserve"> as well. This is consistent with what we observed in </w:t>
      </w:r>
      <w:r>
        <w:rPr>
          <w:lang w:val="en-US"/>
        </w:rPr>
        <w:fldChar w:fldCharType="begin"/>
      </w:r>
      <w:r>
        <w:rPr>
          <w:lang w:val="en-US"/>
        </w:rPr>
        <w:instrText xml:space="preserve"> REF _Ref503264571 \r \h </w:instrText>
      </w:r>
      <w:r w:rsidR="005A2EEF">
        <w:rPr>
          <w:lang w:val="en-US"/>
        </w:rPr>
        <w:instrText xml:space="preserve"> \* MERGEFORMAT </w:instrText>
      </w:r>
      <w:r>
        <w:rPr>
          <w:lang w:val="en-US"/>
        </w:rPr>
      </w:r>
      <w:r>
        <w:rPr>
          <w:lang w:val="en-US"/>
        </w:rPr>
        <w:fldChar w:fldCharType="separate"/>
      </w:r>
      <w:r w:rsidR="002A1E25">
        <w:rPr>
          <w:lang w:val="en-US"/>
        </w:rPr>
        <w:t>[7]</w:t>
      </w:r>
      <w:r>
        <w:rPr>
          <w:lang w:val="en-US"/>
        </w:rPr>
        <w:fldChar w:fldCharType="end"/>
      </w:r>
      <w:r>
        <w:rPr>
          <w:lang w:val="en-US"/>
        </w:rPr>
        <w:t>.</w:t>
      </w:r>
    </w:p>
    <w:p w14:paraId="307BB784" w14:textId="7205F019" w:rsidR="00805A78" w:rsidRDefault="00525799" w:rsidP="00805A78">
      <w:pPr>
        <w:keepNext/>
        <w:jc w:val="center"/>
      </w:pPr>
      <w:r w:rsidRPr="00525799">
        <w:rPr>
          <w:noProof/>
        </w:rPr>
        <w:lastRenderedPageBreak/>
        <w:drawing>
          <wp:inline distT="0" distB="0" distL="0" distR="0" wp14:anchorId="00C2FF21" wp14:editId="50AA0667">
            <wp:extent cx="4882896" cy="3657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82896" cy="3657600"/>
                    </a:xfrm>
                    <a:prstGeom prst="rect">
                      <a:avLst/>
                    </a:prstGeom>
                    <a:noFill/>
                    <a:ln>
                      <a:noFill/>
                    </a:ln>
                  </pic:spPr>
                </pic:pic>
              </a:graphicData>
            </a:graphic>
          </wp:inline>
        </w:drawing>
      </w:r>
    </w:p>
    <w:p w14:paraId="43A296EC" w14:textId="4450343A" w:rsidR="002F1B62" w:rsidRDefault="00805A78" w:rsidP="00146FE7">
      <w:pPr>
        <w:pStyle w:val="Caption"/>
        <w:jc w:val="center"/>
      </w:pPr>
      <w:bookmarkStart w:id="7" w:name="_Ref498350181"/>
      <w:r>
        <w:t xml:space="preserve">Figure </w:t>
      </w:r>
      <w:r w:rsidR="0057194A">
        <w:fldChar w:fldCharType="begin"/>
      </w:r>
      <w:r w:rsidR="0057194A">
        <w:instrText xml:space="preserve"> SEQ Figure \* ARABIC </w:instrText>
      </w:r>
      <w:r w:rsidR="0057194A">
        <w:fldChar w:fldCharType="separate"/>
      </w:r>
      <w:r w:rsidR="002A1E25">
        <w:rPr>
          <w:noProof/>
        </w:rPr>
        <w:t>1</w:t>
      </w:r>
      <w:r w:rsidR="0057194A">
        <w:fldChar w:fldCharType="end"/>
      </w:r>
      <w:bookmarkEnd w:id="7"/>
      <w:r>
        <w:t xml:space="preserve">. </w:t>
      </w:r>
      <w:r w:rsidR="00525799">
        <w:t xml:space="preserve">SINR CDF comparison between 21.2 and 25.2 dBm UE peak EIRP in </w:t>
      </w:r>
      <w:proofErr w:type="spellStart"/>
      <w:r w:rsidR="00525799">
        <w:t>InH</w:t>
      </w:r>
      <w:proofErr w:type="spellEnd"/>
    </w:p>
    <w:p w14:paraId="7E4D42BE" w14:textId="33EBE05D" w:rsidR="00146FE7" w:rsidRPr="00146FE7" w:rsidRDefault="005A2EEF" w:rsidP="005A2EEF">
      <w:pPr>
        <w:jc w:val="both"/>
        <w:rPr>
          <w:lang w:val="en-US"/>
        </w:rPr>
      </w:pPr>
      <w:r>
        <w:t>Also, it is worth noticing that we are considering 20MHz resource allocation. Increasing the BW allocation will make the system more sensitive to the need of higher EIRP.</w:t>
      </w:r>
    </w:p>
    <w:p w14:paraId="79A59FA5" w14:textId="48A11D4E" w:rsidR="00146FE7" w:rsidRDefault="00146FE7" w:rsidP="00146FE7">
      <w:pPr>
        <w:pStyle w:val="Heading3"/>
        <w:rPr>
          <w:lang w:val="en-US"/>
        </w:rPr>
      </w:pPr>
      <w:r>
        <w:rPr>
          <w:lang w:val="en-US"/>
        </w:rPr>
        <w:t xml:space="preserve">Results </w:t>
      </w:r>
      <w:proofErr w:type="spellStart"/>
      <w:r>
        <w:rPr>
          <w:lang w:val="en-US"/>
        </w:rPr>
        <w:t>UMi</w:t>
      </w:r>
      <w:proofErr w:type="spellEnd"/>
    </w:p>
    <w:p w14:paraId="532423EF" w14:textId="0F31FCD3" w:rsidR="00252D94" w:rsidRDefault="00252D94" w:rsidP="00FF38A3">
      <w:pPr>
        <w:jc w:val="both"/>
        <w:rPr>
          <w:lang w:val="en-US"/>
        </w:rPr>
      </w:pPr>
      <w:r>
        <w:rPr>
          <w:lang w:val="en-US"/>
        </w:rPr>
        <w:t xml:space="preserve">In this </w:t>
      </w:r>
      <w:r w:rsidR="00C7582D">
        <w:rPr>
          <w:lang w:val="en-US"/>
        </w:rPr>
        <w:t>S</w:t>
      </w:r>
      <w:r>
        <w:rPr>
          <w:lang w:val="en-US"/>
        </w:rPr>
        <w:t xml:space="preserve">ection, we present SINR CDF results for </w:t>
      </w:r>
      <w:proofErr w:type="spellStart"/>
      <w:r>
        <w:rPr>
          <w:lang w:val="en-US"/>
        </w:rPr>
        <w:t>UMi</w:t>
      </w:r>
      <w:proofErr w:type="spellEnd"/>
      <w:r>
        <w:rPr>
          <w:lang w:val="en-US"/>
        </w:rPr>
        <w:t xml:space="preserve"> scenario.</w:t>
      </w:r>
      <w:r w:rsidR="00F5609C">
        <w:rPr>
          <w:lang w:val="en-US"/>
        </w:rPr>
        <w:t xml:space="preserve"> We consider different</w:t>
      </w:r>
      <w:r>
        <w:rPr>
          <w:lang w:val="en-US"/>
        </w:rPr>
        <w:t xml:space="preserve"> Inter-Site Distance (ISD) and indoor UE ratios</w:t>
      </w:r>
      <w:r w:rsidR="00F5609C">
        <w:rPr>
          <w:lang w:val="en-US"/>
        </w:rPr>
        <w:t>,</w:t>
      </w:r>
      <w:r>
        <w:rPr>
          <w:lang w:val="en-US"/>
        </w:rPr>
        <w:t xml:space="preserve"> as defined in Section </w:t>
      </w:r>
      <w:r>
        <w:rPr>
          <w:lang w:val="en-US"/>
        </w:rPr>
        <w:fldChar w:fldCharType="begin"/>
      </w:r>
      <w:r>
        <w:rPr>
          <w:lang w:val="en-US"/>
        </w:rPr>
        <w:instrText xml:space="preserve"> REF _Ref498606406 \n \h </w:instrText>
      </w:r>
      <w:r w:rsidR="00DA5F08">
        <w:rPr>
          <w:lang w:val="en-US"/>
        </w:rPr>
        <w:instrText xml:space="preserve"> \* MERGEFORMAT </w:instrText>
      </w:r>
      <w:r>
        <w:rPr>
          <w:lang w:val="en-US"/>
        </w:rPr>
      </w:r>
      <w:r>
        <w:rPr>
          <w:lang w:val="en-US"/>
        </w:rPr>
        <w:fldChar w:fldCharType="separate"/>
      </w:r>
      <w:r w:rsidR="002A1E25">
        <w:rPr>
          <w:lang w:val="en-US"/>
        </w:rPr>
        <w:t>2.1</w:t>
      </w:r>
      <w:r>
        <w:rPr>
          <w:lang w:val="en-US"/>
        </w:rPr>
        <w:fldChar w:fldCharType="end"/>
      </w:r>
      <w:r>
        <w:rPr>
          <w:lang w:val="en-US"/>
        </w:rPr>
        <w:t>.</w:t>
      </w:r>
    </w:p>
    <w:p w14:paraId="2E099699" w14:textId="78F22CA2" w:rsidR="00F765FE" w:rsidRDefault="006E0743" w:rsidP="00FF38A3">
      <w:pPr>
        <w:jc w:val="both"/>
        <w:rPr>
          <w:lang w:val="en-US"/>
        </w:rPr>
      </w:pPr>
      <w:r>
        <w:rPr>
          <w:lang w:val="en-US"/>
        </w:rPr>
        <w:fldChar w:fldCharType="begin"/>
      </w:r>
      <w:r>
        <w:rPr>
          <w:lang w:val="en-US"/>
        </w:rPr>
        <w:instrText xml:space="preserve"> REF _Ref503427734 \h </w:instrText>
      </w:r>
      <w:r w:rsidR="00DA5F08">
        <w:rPr>
          <w:lang w:val="en-US"/>
        </w:rPr>
        <w:instrText xml:space="preserve"> \* MERGEFORMAT </w:instrText>
      </w:r>
      <w:r>
        <w:rPr>
          <w:lang w:val="en-US"/>
        </w:rPr>
      </w:r>
      <w:r>
        <w:rPr>
          <w:lang w:val="en-US"/>
        </w:rPr>
        <w:fldChar w:fldCharType="separate"/>
      </w:r>
      <w:r w:rsidR="002A1E25">
        <w:t xml:space="preserve">Figure </w:t>
      </w:r>
      <w:r w:rsidR="002A1E25">
        <w:rPr>
          <w:noProof/>
        </w:rPr>
        <w:t>2</w:t>
      </w:r>
      <w:r>
        <w:rPr>
          <w:lang w:val="en-US"/>
        </w:rPr>
        <w:fldChar w:fldCharType="end"/>
      </w:r>
      <w:r>
        <w:rPr>
          <w:lang w:val="en-US"/>
        </w:rPr>
        <w:t xml:space="preserve"> shows a comparison between SINR CDFs for two different UE peak EIRP values, </w:t>
      </w:r>
      <w:r w:rsidRPr="009C042B">
        <w:rPr>
          <w:lang w:val="en-US"/>
        </w:rPr>
        <w:t>i.e.</w:t>
      </w:r>
      <w:r>
        <w:rPr>
          <w:i/>
          <w:lang w:val="en-US"/>
        </w:rPr>
        <w:t xml:space="preserve"> </w:t>
      </w:r>
      <w:r>
        <w:rPr>
          <w:lang w:val="en-US"/>
        </w:rPr>
        <w:t xml:space="preserve">21.2 dBm and 25.2 dBm, when all UEs are outdoor. As expected, the difference changes with different ISD values with major variation for ISD = </w:t>
      </w:r>
      <w:r w:rsidR="005A2EEF">
        <w:rPr>
          <w:lang w:val="en-US"/>
        </w:rPr>
        <w:t>400m</w:t>
      </w:r>
      <w:r>
        <w:rPr>
          <w:lang w:val="en-US"/>
        </w:rPr>
        <w:t xml:space="preserve">. In </w:t>
      </w:r>
      <w:r>
        <w:rPr>
          <w:lang w:val="en-US"/>
        </w:rPr>
        <w:fldChar w:fldCharType="begin"/>
      </w:r>
      <w:r>
        <w:rPr>
          <w:lang w:val="en-US"/>
        </w:rPr>
        <w:instrText xml:space="preserve"> REF _Ref503428190 \h </w:instrText>
      </w:r>
      <w:r w:rsidR="00DA5F08">
        <w:rPr>
          <w:lang w:val="en-US"/>
        </w:rPr>
        <w:instrText xml:space="preserve"> \* MERGEFORMAT </w:instrText>
      </w:r>
      <w:r>
        <w:rPr>
          <w:lang w:val="en-US"/>
        </w:rPr>
      </w:r>
      <w:r>
        <w:rPr>
          <w:lang w:val="en-US"/>
        </w:rPr>
        <w:fldChar w:fldCharType="separate"/>
      </w:r>
      <w:r w:rsidR="002A1E25">
        <w:t xml:space="preserve">Figure </w:t>
      </w:r>
      <w:r w:rsidR="002A1E25">
        <w:rPr>
          <w:noProof/>
        </w:rPr>
        <w:t>3</w:t>
      </w:r>
      <w:r>
        <w:rPr>
          <w:lang w:val="en-US"/>
        </w:rPr>
        <w:fldChar w:fldCharType="end"/>
      </w:r>
      <w:r>
        <w:rPr>
          <w:lang w:val="en-US"/>
        </w:rPr>
        <w:t xml:space="preserve"> </w:t>
      </w:r>
      <w:r w:rsidR="0057194A">
        <w:rPr>
          <w:lang w:val="en-US"/>
        </w:rPr>
        <w:t xml:space="preserve">and </w:t>
      </w:r>
      <w:r w:rsidR="00C9557E">
        <w:rPr>
          <w:lang w:val="en-US"/>
        </w:rPr>
        <w:fldChar w:fldCharType="begin"/>
      </w:r>
      <w:r w:rsidR="00C9557E">
        <w:rPr>
          <w:lang w:val="en-US"/>
        </w:rPr>
        <w:instrText xml:space="preserve"> REF _Ref503781178 \h </w:instrText>
      </w:r>
      <w:r w:rsidR="00C9557E">
        <w:rPr>
          <w:lang w:val="en-US"/>
        </w:rPr>
      </w:r>
      <w:r w:rsidR="00C9557E">
        <w:rPr>
          <w:lang w:val="en-US"/>
        </w:rPr>
        <w:fldChar w:fldCharType="separate"/>
      </w:r>
      <w:r w:rsidR="002A1E25">
        <w:t xml:space="preserve">Figure </w:t>
      </w:r>
      <w:r w:rsidR="002A1E25">
        <w:rPr>
          <w:noProof/>
        </w:rPr>
        <w:t>4</w:t>
      </w:r>
      <w:r w:rsidR="00C9557E">
        <w:rPr>
          <w:lang w:val="en-US"/>
        </w:rPr>
        <w:fldChar w:fldCharType="end"/>
      </w:r>
      <w:r w:rsidR="0057194A">
        <w:rPr>
          <w:lang w:val="en-US"/>
        </w:rPr>
        <w:t xml:space="preserve"> </w:t>
      </w:r>
      <w:r>
        <w:rPr>
          <w:lang w:val="en-US"/>
        </w:rPr>
        <w:t>same comparison is made when 20%</w:t>
      </w:r>
      <w:r w:rsidR="0057194A">
        <w:rPr>
          <w:lang w:val="en-US"/>
        </w:rPr>
        <w:t xml:space="preserve"> and 80% of UEs, respectively,</w:t>
      </w:r>
      <w:r>
        <w:rPr>
          <w:lang w:val="en-US"/>
        </w:rPr>
        <w:t xml:space="preserve"> are indoor.</w:t>
      </w:r>
      <w:r w:rsidR="00A86E55">
        <w:rPr>
          <w:lang w:val="en-US"/>
        </w:rPr>
        <w:t xml:space="preserve"> Network performance generally worsens with an increase in the number of UEs in outage.</w:t>
      </w:r>
      <w:r w:rsidR="00F765FE">
        <w:rPr>
          <w:lang w:val="en-US"/>
        </w:rPr>
        <w:t xml:space="preserve"> Such differences are summarized in</w:t>
      </w:r>
      <w:r w:rsidR="005A2EEF">
        <w:rPr>
          <w:lang w:val="en-US"/>
        </w:rPr>
        <w:t xml:space="preserve"> the subsequent t</w:t>
      </w:r>
      <w:r w:rsidR="00A21172">
        <w:rPr>
          <w:lang w:val="en-US"/>
        </w:rPr>
        <w:t>ables</w:t>
      </w:r>
      <w:r w:rsidR="00F765FE">
        <w:rPr>
          <w:lang w:val="en-US"/>
        </w:rPr>
        <w:t>.</w:t>
      </w:r>
    </w:p>
    <w:p w14:paraId="4DA35563" w14:textId="77777777" w:rsidR="00800F9C" w:rsidRDefault="00800F9C" w:rsidP="00FF38A3">
      <w:pPr>
        <w:jc w:val="both"/>
        <w:rPr>
          <w:lang w:val="en-US"/>
        </w:rPr>
      </w:pPr>
      <w:r>
        <w:rPr>
          <w:lang w:val="en-US"/>
        </w:rPr>
        <w:t>The following observations can be made:</w:t>
      </w:r>
    </w:p>
    <w:p w14:paraId="46F6A33A" w14:textId="62FE209B" w:rsidR="008708AF" w:rsidRDefault="00663F7D" w:rsidP="00FF38A3">
      <w:pPr>
        <w:pStyle w:val="ListParagraph"/>
        <w:numPr>
          <w:ilvl w:val="0"/>
          <w:numId w:val="41"/>
        </w:numPr>
        <w:jc w:val="both"/>
        <w:rPr>
          <w:lang w:val="en-US"/>
        </w:rPr>
      </w:pPr>
      <w:r w:rsidRPr="00800F9C">
        <w:rPr>
          <w:lang w:val="en-US"/>
        </w:rPr>
        <w:t>throughput degradation is observed</w:t>
      </w:r>
      <w:r w:rsidR="00E3467A" w:rsidRPr="00800F9C">
        <w:rPr>
          <w:lang w:val="en-US"/>
        </w:rPr>
        <w:t xml:space="preserve"> starting for medium/</w:t>
      </w:r>
      <w:r w:rsidR="00800F9C">
        <w:rPr>
          <w:lang w:val="en-US"/>
        </w:rPr>
        <w:t>large ISD, both 50%-tile and 5%-tile</w:t>
      </w:r>
      <w:r w:rsidR="009B2FAB">
        <w:rPr>
          <w:lang w:val="en-US"/>
        </w:rPr>
        <w:t>. In th</w:t>
      </w:r>
      <w:r w:rsidR="0057194A">
        <w:rPr>
          <w:lang w:val="en-US"/>
        </w:rPr>
        <w:t>ese</w:t>
      </w:r>
      <w:r w:rsidR="009B2FAB">
        <w:rPr>
          <w:lang w:val="en-US"/>
        </w:rPr>
        <w:t xml:space="preserve"> </w:t>
      </w:r>
      <w:proofErr w:type="gramStart"/>
      <w:r w:rsidR="009B2FAB">
        <w:rPr>
          <w:lang w:val="en-US"/>
        </w:rPr>
        <w:t>cases</w:t>
      </w:r>
      <w:proofErr w:type="gramEnd"/>
      <w:r w:rsidR="009B2FAB">
        <w:rPr>
          <w:lang w:val="en-US"/>
        </w:rPr>
        <w:t xml:space="preserve"> the system is noise limited. </w:t>
      </w:r>
    </w:p>
    <w:p w14:paraId="3FF36241" w14:textId="6892A8D1" w:rsidR="00800F9C" w:rsidRDefault="00800F9C" w:rsidP="00FF38A3">
      <w:pPr>
        <w:pStyle w:val="ListParagraph"/>
        <w:numPr>
          <w:ilvl w:val="0"/>
          <w:numId w:val="41"/>
        </w:numPr>
        <w:jc w:val="both"/>
        <w:rPr>
          <w:lang w:val="en-US"/>
        </w:rPr>
      </w:pPr>
      <w:r>
        <w:rPr>
          <w:lang w:val="en-US"/>
        </w:rPr>
        <w:t xml:space="preserve">the performance degradation due to lower EIRP increases when indoor UE are considered. This is </w:t>
      </w:r>
      <w:proofErr w:type="gramStart"/>
      <w:r>
        <w:rPr>
          <w:lang w:val="en-US"/>
        </w:rPr>
        <w:t>due to the fact that</w:t>
      </w:r>
      <w:proofErr w:type="gramEnd"/>
      <w:r>
        <w:rPr>
          <w:lang w:val="en-US"/>
        </w:rPr>
        <w:t xml:space="preserve"> higher EIRP can </w:t>
      </w:r>
      <w:r w:rsidR="009B2FAB">
        <w:rPr>
          <w:lang w:val="en-US"/>
        </w:rPr>
        <w:t xml:space="preserve">help </w:t>
      </w:r>
      <w:r w:rsidR="005A2EEF">
        <w:rPr>
          <w:lang w:val="en-US"/>
        </w:rPr>
        <w:t xml:space="preserve">to </w:t>
      </w:r>
      <w:r>
        <w:rPr>
          <w:lang w:val="en-US"/>
        </w:rPr>
        <w:t>compensate penetration loss for some UEs</w:t>
      </w:r>
      <w:r w:rsidR="009B2FAB">
        <w:rPr>
          <w:lang w:val="en-US"/>
        </w:rPr>
        <w:t>.</w:t>
      </w:r>
    </w:p>
    <w:p w14:paraId="7EE0BF82" w14:textId="463E9F00" w:rsidR="008708AF" w:rsidRPr="004C3A20" w:rsidRDefault="009B2FAB" w:rsidP="008708AF">
      <w:pPr>
        <w:pStyle w:val="ListParagraph"/>
        <w:numPr>
          <w:ilvl w:val="0"/>
          <w:numId w:val="41"/>
        </w:numPr>
        <w:jc w:val="both"/>
        <w:rPr>
          <w:lang w:val="en-US"/>
        </w:rPr>
      </w:pPr>
      <w:r>
        <w:rPr>
          <w:lang w:val="en-US"/>
        </w:rPr>
        <w:t xml:space="preserve">the benefit of higher EIRP is clearly visible once the system starts to be noise limited. Even considering small resource allocation, higher EIRP helps improving system performance. </w:t>
      </w:r>
    </w:p>
    <w:p w14:paraId="5076B754" w14:textId="4C097A67" w:rsidR="00252D94" w:rsidRDefault="006E0743" w:rsidP="00252D94">
      <w:pPr>
        <w:keepNext/>
        <w:jc w:val="center"/>
      </w:pPr>
      <w:r w:rsidRPr="006E0743">
        <w:rPr>
          <w:noProof/>
        </w:rPr>
        <w:lastRenderedPageBreak/>
        <w:drawing>
          <wp:inline distT="0" distB="0" distL="0" distR="0" wp14:anchorId="1D847407" wp14:editId="4136DC92">
            <wp:extent cx="4882896" cy="3657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82896" cy="3657600"/>
                    </a:xfrm>
                    <a:prstGeom prst="rect">
                      <a:avLst/>
                    </a:prstGeom>
                    <a:noFill/>
                    <a:ln>
                      <a:noFill/>
                    </a:ln>
                  </pic:spPr>
                </pic:pic>
              </a:graphicData>
            </a:graphic>
          </wp:inline>
        </w:drawing>
      </w:r>
    </w:p>
    <w:p w14:paraId="0F1FDD75" w14:textId="5D492C11" w:rsidR="007F720D" w:rsidRDefault="00252D94" w:rsidP="00252D94">
      <w:pPr>
        <w:pStyle w:val="Caption"/>
        <w:jc w:val="center"/>
      </w:pPr>
      <w:bookmarkStart w:id="8" w:name="_Ref503427734"/>
      <w:r>
        <w:t xml:space="preserve">Figure </w:t>
      </w:r>
      <w:r w:rsidR="0057194A">
        <w:fldChar w:fldCharType="begin"/>
      </w:r>
      <w:r w:rsidR="0057194A">
        <w:instrText xml:space="preserve"> SEQ Figure \* ARABIC </w:instrText>
      </w:r>
      <w:r w:rsidR="0057194A">
        <w:fldChar w:fldCharType="separate"/>
      </w:r>
      <w:r w:rsidR="002A1E25">
        <w:rPr>
          <w:noProof/>
        </w:rPr>
        <w:t>2</w:t>
      </w:r>
      <w:r w:rsidR="0057194A">
        <w:fldChar w:fldCharType="end"/>
      </w:r>
      <w:bookmarkEnd w:id="8"/>
      <w:r>
        <w:t>. SINR CDF</w:t>
      </w:r>
      <w:r w:rsidR="00F75FF9">
        <w:t xml:space="preserve"> comparison </w:t>
      </w:r>
      <w:r w:rsidR="000A47CD">
        <w:t xml:space="preserve">between UE peak EIRP 21.2 dBm (continuous line) and UE peak EIRP 25.2 dBm (dashed line) </w:t>
      </w:r>
      <w:r>
        <w:t>for different ISD values</w:t>
      </w:r>
      <w:r w:rsidR="000A47CD">
        <w:t xml:space="preserve"> </w:t>
      </w:r>
      <w:r w:rsidR="007C26B4">
        <w:t>– all UEs are outdoor</w:t>
      </w:r>
    </w:p>
    <w:p w14:paraId="1B532B43" w14:textId="09D57275" w:rsidR="006E0743" w:rsidRDefault="006E0743" w:rsidP="006E0743"/>
    <w:p w14:paraId="000292D3" w14:textId="77777777" w:rsidR="006E0743" w:rsidRDefault="006E0743" w:rsidP="006E0743">
      <w:pPr>
        <w:keepNext/>
        <w:jc w:val="center"/>
      </w:pPr>
      <w:r w:rsidRPr="006E0743">
        <w:rPr>
          <w:noProof/>
        </w:rPr>
        <w:drawing>
          <wp:inline distT="0" distB="0" distL="0" distR="0" wp14:anchorId="5CF9EA44" wp14:editId="757F4007">
            <wp:extent cx="4882896" cy="3657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82896" cy="3657600"/>
                    </a:xfrm>
                    <a:prstGeom prst="rect">
                      <a:avLst/>
                    </a:prstGeom>
                    <a:noFill/>
                    <a:ln>
                      <a:noFill/>
                    </a:ln>
                  </pic:spPr>
                </pic:pic>
              </a:graphicData>
            </a:graphic>
          </wp:inline>
        </w:drawing>
      </w:r>
    </w:p>
    <w:p w14:paraId="5C94ABAC" w14:textId="03C170FA" w:rsidR="006E0743" w:rsidRDefault="006E0743" w:rsidP="006E0743">
      <w:pPr>
        <w:pStyle w:val="Caption"/>
        <w:jc w:val="center"/>
      </w:pPr>
      <w:bookmarkStart w:id="9" w:name="_Ref503428190"/>
      <w:r>
        <w:t xml:space="preserve">Figure </w:t>
      </w:r>
      <w:r w:rsidR="0057194A">
        <w:fldChar w:fldCharType="begin"/>
      </w:r>
      <w:r w:rsidR="0057194A">
        <w:instrText xml:space="preserve"> SEQ Figure \* ARABIC </w:instrText>
      </w:r>
      <w:r w:rsidR="0057194A">
        <w:fldChar w:fldCharType="separate"/>
      </w:r>
      <w:r w:rsidR="002A1E25">
        <w:rPr>
          <w:noProof/>
        </w:rPr>
        <w:t>3</w:t>
      </w:r>
      <w:r w:rsidR="0057194A">
        <w:fldChar w:fldCharType="end"/>
      </w:r>
      <w:bookmarkEnd w:id="9"/>
      <w:r>
        <w:t>.</w:t>
      </w:r>
      <w:r w:rsidRPr="006E0743">
        <w:t xml:space="preserve"> </w:t>
      </w:r>
      <w:bookmarkStart w:id="10" w:name="_Hlk503775861"/>
      <w:r>
        <w:t>SINR CDF comparison between UE peak EIRP 21.2 dBm (continuous line) and UE peak EIRP 25.2 dBm (dashed line) for different ISD values – 20% of UEs are indoor</w:t>
      </w:r>
      <w:bookmarkEnd w:id="10"/>
    </w:p>
    <w:p w14:paraId="0893EFF8" w14:textId="536B7E9A" w:rsidR="0057194A" w:rsidRDefault="005175E8" w:rsidP="009C042B">
      <w:pPr>
        <w:keepNext/>
        <w:jc w:val="center"/>
      </w:pPr>
      <w:r w:rsidRPr="005175E8">
        <w:rPr>
          <w:noProof/>
        </w:rPr>
        <w:lastRenderedPageBreak/>
        <w:drawing>
          <wp:inline distT="0" distB="0" distL="0" distR="0" wp14:anchorId="4D12DFE9" wp14:editId="5B7EC8FF">
            <wp:extent cx="4873752" cy="3657600"/>
            <wp:effectExtent l="0" t="0" r="317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73752" cy="3657600"/>
                    </a:xfrm>
                    <a:prstGeom prst="rect">
                      <a:avLst/>
                    </a:prstGeom>
                    <a:noFill/>
                    <a:ln>
                      <a:noFill/>
                    </a:ln>
                  </pic:spPr>
                </pic:pic>
              </a:graphicData>
            </a:graphic>
          </wp:inline>
        </w:drawing>
      </w:r>
    </w:p>
    <w:p w14:paraId="1CACF8A6" w14:textId="4A1450C1" w:rsidR="0057194A" w:rsidRPr="0057194A" w:rsidRDefault="0057194A">
      <w:pPr>
        <w:pStyle w:val="Caption"/>
        <w:jc w:val="center"/>
      </w:pPr>
      <w:bookmarkStart w:id="11" w:name="_Ref503781178"/>
      <w:r>
        <w:t xml:space="preserve">Figure </w:t>
      </w:r>
      <w:r>
        <w:fldChar w:fldCharType="begin"/>
      </w:r>
      <w:r>
        <w:instrText xml:space="preserve"> SEQ Figure \* ARABIC </w:instrText>
      </w:r>
      <w:r>
        <w:fldChar w:fldCharType="separate"/>
      </w:r>
      <w:r w:rsidR="002A1E25">
        <w:rPr>
          <w:noProof/>
        </w:rPr>
        <w:t>4</w:t>
      </w:r>
      <w:r>
        <w:fldChar w:fldCharType="end"/>
      </w:r>
      <w:bookmarkEnd w:id="11"/>
      <w:r>
        <w:t>. SINR CDF comparison between UE peak EIRP 21.2 dBm (continuous line) and UE peak EIRP 25.2 dBm (dashed line) for different ISD values – 80% of UEs are indoor</w:t>
      </w:r>
    </w:p>
    <w:p w14:paraId="16977650" w14:textId="088E23E7" w:rsidR="006E74CC" w:rsidRDefault="006E74CC" w:rsidP="005A2EEF">
      <w:pPr>
        <w:jc w:val="center"/>
      </w:pPr>
    </w:p>
    <w:p w14:paraId="47B8EA38" w14:textId="2B7FAAAF" w:rsidR="00D405D9" w:rsidRDefault="00D405D9" w:rsidP="00B33BD5">
      <w:pPr>
        <w:pStyle w:val="Caption"/>
        <w:keepNext/>
        <w:jc w:val="center"/>
      </w:pPr>
      <w:bookmarkStart w:id="12" w:name="_Ref503432632"/>
      <w:bookmarkStart w:id="13" w:name="_Ref503432626"/>
      <w:r>
        <w:t xml:space="preserve">Table </w:t>
      </w:r>
      <w:r>
        <w:fldChar w:fldCharType="begin"/>
      </w:r>
      <w:r>
        <w:instrText xml:space="preserve"> SEQ Table \* ARABIC </w:instrText>
      </w:r>
      <w:r>
        <w:fldChar w:fldCharType="separate"/>
      </w:r>
      <w:r w:rsidR="002A1E25">
        <w:rPr>
          <w:noProof/>
        </w:rPr>
        <w:t>2</w:t>
      </w:r>
      <w:r>
        <w:fldChar w:fldCharType="end"/>
      </w:r>
      <w:bookmarkEnd w:id="12"/>
      <w:r>
        <w:t>. 50%-tile SINR loss [dB] compared to 25.2 dBm UE peak EIRP</w:t>
      </w:r>
      <w:bookmarkEnd w:id="13"/>
    </w:p>
    <w:tbl>
      <w:tblPr>
        <w:tblW w:w="9630" w:type="dxa"/>
        <w:tblLook w:val="04A0" w:firstRow="1" w:lastRow="0" w:firstColumn="1" w:lastColumn="0" w:noHBand="0" w:noVBand="1"/>
      </w:tblPr>
      <w:tblGrid>
        <w:gridCol w:w="3330"/>
        <w:gridCol w:w="1530"/>
        <w:gridCol w:w="1350"/>
        <w:gridCol w:w="1530"/>
        <w:gridCol w:w="1890"/>
      </w:tblGrid>
      <w:tr w:rsidR="00D405D9" w:rsidRPr="00DE6950" w14:paraId="58DA4D12" w14:textId="77777777" w:rsidTr="00FF38A3">
        <w:trPr>
          <w:trHeight w:val="330"/>
        </w:trPr>
        <w:tc>
          <w:tcPr>
            <w:tcW w:w="3330" w:type="dxa"/>
            <w:tcBorders>
              <w:top w:val="nil"/>
              <w:left w:val="nil"/>
              <w:bottom w:val="nil"/>
              <w:right w:val="nil"/>
            </w:tcBorders>
            <w:shd w:val="clear" w:color="auto" w:fill="auto"/>
            <w:noWrap/>
            <w:vAlign w:val="bottom"/>
            <w:hideMark/>
          </w:tcPr>
          <w:p w14:paraId="34785BE2" w14:textId="77777777" w:rsidR="00D405D9" w:rsidRPr="00DE6950" w:rsidRDefault="00D405D9" w:rsidP="00B33BD5">
            <w:pPr>
              <w:spacing w:after="0"/>
              <w:jc w:val="center"/>
              <w:rPr>
                <w:szCs w:val="24"/>
                <w:lang w:val="en-US"/>
              </w:rPr>
            </w:pPr>
          </w:p>
        </w:tc>
        <w:tc>
          <w:tcPr>
            <w:tcW w:w="6300" w:type="dxa"/>
            <w:gridSpan w:val="4"/>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0869AB39" w14:textId="7225EE66" w:rsidR="00D405D9" w:rsidRPr="00DE6950" w:rsidRDefault="00D405D9" w:rsidP="00B33BD5">
            <w:pPr>
              <w:spacing w:after="0"/>
              <w:jc w:val="center"/>
              <w:rPr>
                <w:b/>
                <w:bCs/>
                <w:color w:val="000000"/>
                <w:szCs w:val="24"/>
                <w:lang w:val="en-US"/>
              </w:rPr>
            </w:pPr>
            <w:r w:rsidRPr="00DE6950">
              <w:rPr>
                <w:b/>
                <w:bCs/>
                <w:color w:val="000000"/>
                <w:szCs w:val="24"/>
                <w:lang w:val="en-US"/>
              </w:rPr>
              <w:t>50%-tile SINR loss [dB] compared to 25.2 dBm EIRP</w:t>
            </w:r>
          </w:p>
        </w:tc>
      </w:tr>
      <w:tr w:rsidR="00D405D9" w:rsidRPr="00DE6950" w14:paraId="43D9F0A1" w14:textId="77777777" w:rsidTr="00FF38A3">
        <w:trPr>
          <w:trHeight w:val="330"/>
        </w:trPr>
        <w:tc>
          <w:tcPr>
            <w:tcW w:w="3330" w:type="dxa"/>
            <w:tcBorders>
              <w:top w:val="single" w:sz="8" w:space="0" w:color="auto"/>
              <w:left w:val="single" w:sz="8" w:space="0" w:color="auto"/>
              <w:bottom w:val="single" w:sz="8" w:space="0" w:color="auto"/>
              <w:right w:val="nil"/>
            </w:tcBorders>
            <w:shd w:val="clear" w:color="auto" w:fill="auto"/>
            <w:noWrap/>
            <w:vAlign w:val="bottom"/>
            <w:hideMark/>
          </w:tcPr>
          <w:p w14:paraId="49CBA18D" w14:textId="77777777" w:rsidR="00D405D9" w:rsidRPr="00DE6950" w:rsidRDefault="00D405D9" w:rsidP="00B33BD5">
            <w:pPr>
              <w:spacing w:after="0"/>
              <w:jc w:val="center"/>
              <w:rPr>
                <w:b/>
                <w:bCs/>
                <w:color w:val="000000"/>
                <w:szCs w:val="24"/>
                <w:lang w:val="en-US"/>
              </w:rPr>
            </w:pPr>
            <w:r w:rsidRPr="00DE6950">
              <w:rPr>
                <w:b/>
                <w:bCs/>
                <w:color w:val="000000"/>
                <w:szCs w:val="24"/>
                <w:lang w:val="en-US"/>
              </w:rPr>
              <w:t>Max EIRP [dBm] - % indoor UE</w:t>
            </w:r>
          </w:p>
        </w:tc>
        <w:tc>
          <w:tcPr>
            <w:tcW w:w="1530" w:type="dxa"/>
            <w:tcBorders>
              <w:top w:val="nil"/>
              <w:left w:val="single" w:sz="8" w:space="0" w:color="auto"/>
              <w:bottom w:val="single" w:sz="8" w:space="0" w:color="auto"/>
              <w:right w:val="single" w:sz="4" w:space="0" w:color="auto"/>
            </w:tcBorders>
            <w:shd w:val="clear" w:color="auto" w:fill="auto"/>
            <w:noWrap/>
            <w:vAlign w:val="bottom"/>
            <w:hideMark/>
          </w:tcPr>
          <w:p w14:paraId="24017B49" w14:textId="77777777" w:rsidR="00D405D9" w:rsidRPr="00DE6950" w:rsidRDefault="00D405D9" w:rsidP="00B33BD5">
            <w:pPr>
              <w:spacing w:after="0"/>
              <w:jc w:val="center"/>
              <w:rPr>
                <w:b/>
                <w:bCs/>
                <w:color w:val="000000"/>
                <w:szCs w:val="24"/>
                <w:lang w:val="en-US"/>
              </w:rPr>
            </w:pPr>
            <w:r w:rsidRPr="00DE6950">
              <w:rPr>
                <w:b/>
                <w:bCs/>
                <w:color w:val="000000"/>
                <w:szCs w:val="24"/>
                <w:lang w:val="en-US"/>
              </w:rPr>
              <w:t>ISD = 100m</w:t>
            </w:r>
          </w:p>
        </w:tc>
        <w:tc>
          <w:tcPr>
            <w:tcW w:w="1350" w:type="dxa"/>
            <w:tcBorders>
              <w:top w:val="nil"/>
              <w:left w:val="nil"/>
              <w:bottom w:val="single" w:sz="8" w:space="0" w:color="auto"/>
              <w:right w:val="single" w:sz="4" w:space="0" w:color="auto"/>
            </w:tcBorders>
            <w:shd w:val="clear" w:color="auto" w:fill="auto"/>
            <w:noWrap/>
            <w:vAlign w:val="bottom"/>
            <w:hideMark/>
          </w:tcPr>
          <w:p w14:paraId="67E369EC" w14:textId="77777777" w:rsidR="00D405D9" w:rsidRPr="00DE6950" w:rsidRDefault="00D405D9" w:rsidP="00B33BD5">
            <w:pPr>
              <w:spacing w:after="0"/>
              <w:jc w:val="center"/>
              <w:rPr>
                <w:b/>
                <w:bCs/>
                <w:color w:val="000000"/>
                <w:szCs w:val="24"/>
                <w:lang w:val="en-US"/>
              </w:rPr>
            </w:pPr>
            <w:r w:rsidRPr="00DE6950">
              <w:rPr>
                <w:b/>
                <w:bCs/>
                <w:color w:val="000000"/>
                <w:szCs w:val="24"/>
                <w:lang w:val="en-US"/>
              </w:rPr>
              <w:t>ISD = 200m</w:t>
            </w:r>
          </w:p>
        </w:tc>
        <w:tc>
          <w:tcPr>
            <w:tcW w:w="1530" w:type="dxa"/>
            <w:tcBorders>
              <w:top w:val="nil"/>
              <w:left w:val="nil"/>
              <w:bottom w:val="single" w:sz="8" w:space="0" w:color="auto"/>
              <w:right w:val="single" w:sz="4" w:space="0" w:color="auto"/>
            </w:tcBorders>
            <w:shd w:val="clear" w:color="auto" w:fill="auto"/>
            <w:noWrap/>
            <w:vAlign w:val="bottom"/>
            <w:hideMark/>
          </w:tcPr>
          <w:p w14:paraId="1A636ABD" w14:textId="77777777" w:rsidR="00D405D9" w:rsidRPr="00DE6950" w:rsidRDefault="00D405D9" w:rsidP="00B33BD5">
            <w:pPr>
              <w:spacing w:after="0"/>
              <w:jc w:val="center"/>
              <w:rPr>
                <w:b/>
                <w:bCs/>
                <w:color w:val="000000"/>
                <w:szCs w:val="24"/>
                <w:lang w:val="en-US"/>
              </w:rPr>
            </w:pPr>
            <w:r w:rsidRPr="00DE6950">
              <w:rPr>
                <w:b/>
                <w:bCs/>
                <w:color w:val="000000"/>
                <w:szCs w:val="24"/>
                <w:lang w:val="en-US"/>
              </w:rPr>
              <w:t>ISD = 300m</w:t>
            </w:r>
          </w:p>
        </w:tc>
        <w:tc>
          <w:tcPr>
            <w:tcW w:w="1890" w:type="dxa"/>
            <w:tcBorders>
              <w:top w:val="nil"/>
              <w:left w:val="nil"/>
              <w:bottom w:val="single" w:sz="8" w:space="0" w:color="auto"/>
              <w:right w:val="single" w:sz="8" w:space="0" w:color="auto"/>
            </w:tcBorders>
            <w:shd w:val="clear" w:color="auto" w:fill="auto"/>
            <w:noWrap/>
            <w:vAlign w:val="bottom"/>
            <w:hideMark/>
          </w:tcPr>
          <w:p w14:paraId="73028CA1" w14:textId="6860F1CF" w:rsidR="00D405D9" w:rsidRPr="00DE6950" w:rsidRDefault="00D405D9" w:rsidP="00B33BD5">
            <w:pPr>
              <w:spacing w:after="0"/>
              <w:jc w:val="center"/>
              <w:rPr>
                <w:b/>
                <w:bCs/>
                <w:color w:val="000000"/>
                <w:szCs w:val="24"/>
                <w:lang w:val="en-US"/>
              </w:rPr>
            </w:pPr>
            <w:r w:rsidRPr="00DE6950">
              <w:rPr>
                <w:b/>
                <w:bCs/>
                <w:color w:val="000000"/>
                <w:szCs w:val="24"/>
                <w:lang w:val="en-US"/>
              </w:rPr>
              <w:t>ISD = 400m</w:t>
            </w:r>
          </w:p>
        </w:tc>
      </w:tr>
      <w:tr w:rsidR="00D405D9" w:rsidRPr="00DE6950" w14:paraId="66213279" w14:textId="77777777" w:rsidTr="00FF38A3">
        <w:trPr>
          <w:trHeight w:val="330"/>
        </w:trPr>
        <w:tc>
          <w:tcPr>
            <w:tcW w:w="3330" w:type="dxa"/>
            <w:tcBorders>
              <w:top w:val="nil"/>
              <w:left w:val="single" w:sz="8" w:space="0" w:color="auto"/>
              <w:bottom w:val="single" w:sz="8" w:space="0" w:color="auto"/>
              <w:right w:val="nil"/>
            </w:tcBorders>
            <w:shd w:val="clear" w:color="auto" w:fill="auto"/>
            <w:noWrap/>
            <w:vAlign w:val="bottom"/>
            <w:hideMark/>
          </w:tcPr>
          <w:p w14:paraId="1AF118F2" w14:textId="77777777" w:rsidR="00D405D9" w:rsidRPr="00DE6950" w:rsidRDefault="00D405D9" w:rsidP="00B33BD5">
            <w:pPr>
              <w:spacing w:after="0"/>
              <w:jc w:val="center"/>
              <w:rPr>
                <w:b/>
                <w:bCs/>
                <w:color w:val="000000"/>
                <w:szCs w:val="24"/>
                <w:lang w:val="en-US"/>
              </w:rPr>
            </w:pPr>
            <w:r w:rsidRPr="00DE6950">
              <w:rPr>
                <w:b/>
                <w:bCs/>
                <w:color w:val="000000"/>
                <w:szCs w:val="24"/>
                <w:lang w:val="en-US"/>
              </w:rPr>
              <w:t>21.2 dBm - 0%</w:t>
            </w:r>
          </w:p>
        </w:tc>
        <w:tc>
          <w:tcPr>
            <w:tcW w:w="1530" w:type="dxa"/>
            <w:tcBorders>
              <w:top w:val="nil"/>
              <w:left w:val="single" w:sz="8" w:space="0" w:color="auto"/>
              <w:bottom w:val="single" w:sz="8" w:space="0" w:color="auto"/>
              <w:right w:val="single" w:sz="4" w:space="0" w:color="auto"/>
            </w:tcBorders>
            <w:shd w:val="clear" w:color="auto" w:fill="auto"/>
            <w:noWrap/>
            <w:vAlign w:val="bottom"/>
            <w:hideMark/>
          </w:tcPr>
          <w:p w14:paraId="2E56C831" w14:textId="77777777" w:rsidR="00D405D9" w:rsidRPr="00DE6950" w:rsidRDefault="00D405D9" w:rsidP="00B33BD5">
            <w:pPr>
              <w:spacing w:after="0"/>
              <w:jc w:val="center"/>
              <w:rPr>
                <w:color w:val="000000"/>
                <w:szCs w:val="24"/>
                <w:lang w:val="en-US"/>
              </w:rPr>
            </w:pPr>
            <w:r w:rsidRPr="00DE6950">
              <w:rPr>
                <w:color w:val="000000"/>
                <w:szCs w:val="24"/>
                <w:lang w:val="en-US"/>
              </w:rPr>
              <w:t>0.00</w:t>
            </w:r>
          </w:p>
        </w:tc>
        <w:tc>
          <w:tcPr>
            <w:tcW w:w="1350" w:type="dxa"/>
            <w:tcBorders>
              <w:top w:val="nil"/>
              <w:left w:val="single" w:sz="8" w:space="0" w:color="auto"/>
              <w:bottom w:val="single" w:sz="8" w:space="0" w:color="auto"/>
              <w:right w:val="single" w:sz="4" w:space="0" w:color="auto"/>
            </w:tcBorders>
            <w:shd w:val="clear" w:color="auto" w:fill="auto"/>
            <w:noWrap/>
            <w:vAlign w:val="bottom"/>
            <w:hideMark/>
          </w:tcPr>
          <w:p w14:paraId="524AD631" w14:textId="77777777" w:rsidR="00D405D9" w:rsidRPr="00DE6950" w:rsidRDefault="00D405D9" w:rsidP="00B33BD5">
            <w:pPr>
              <w:spacing w:after="0"/>
              <w:jc w:val="center"/>
              <w:rPr>
                <w:color w:val="000000"/>
                <w:szCs w:val="24"/>
                <w:lang w:val="en-US"/>
              </w:rPr>
            </w:pPr>
            <w:r w:rsidRPr="00DE6950">
              <w:rPr>
                <w:color w:val="000000"/>
                <w:szCs w:val="24"/>
                <w:lang w:val="en-US"/>
              </w:rPr>
              <w:t>0.21</w:t>
            </w:r>
          </w:p>
        </w:tc>
        <w:tc>
          <w:tcPr>
            <w:tcW w:w="1530" w:type="dxa"/>
            <w:tcBorders>
              <w:top w:val="nil"/>
              <w:left w:val="single" w:sz="8" w:space="0" w:color="auto"/>
              <w:bottom w:val="single" w:sz="8" w:space="0" w:color="auto"/>
              <w:right w:val="single" w:sz="4" w:space="0" w:color="auto"/>
            </w:tcBorders>
            <w:shd w:val="clear" w:color="auto" w:fill="auto"/>
            <w:noWrap/>
            <w:vAlign w:val="bottom"/>
            <w:hideMark/>
          </w:tcPr>
          <w:p w14:paraId="1C080034" w14:textId="77777777" w:rsidR="00D405D9" w:rsidRPr="00DE6950" w:rsidRDefault="00D405D9" w:rsidP="00B33BD5">
            <w:pPr>
              <w:spacing w:after="0"/>
              <w:jc w:val="center"/>
              <w:rPr>
                <w:color w:val="000000"/>
                <w:szCs w:val="24"/>
                <w:lang w:val="en-US"/>
              </w:rPr>
            </w:pPr>
            <w:r w:rsidRPr="00DE6950">
              <w:rPr>
                <w:color w:val="000000"/>
                <w:szCs w:val="24"/>
                <w:lang w:val="en-US"/>
              </w:rPr>
              <w:t>2.72</w:t>
            </w:r>
          </w:p>
        </w:tc>
        <w:tc>
          <w:tcPr>
            <w:tcW w:w="1890" w:type="dxa"/>
            <w:tcBorders>
              <w:top w:val="nil"/>
              <w:left w:val="single" w:sz="8" w:space="0" w:color="auto"/>
              <w:bottom w:val="single" w:sz="8" w:space="0" w:color="auto"/>
              <w:right w:val="single" w:sz="8" w:space="0" w:color="auto"/>
            </w:tcBorders>
            <w:shd w:val="clear" w:color="auto" w:fill="auto"/>
            <w:noWrap/>
            <w:vAlign w:val="bottom"/>
            <w:hideMark/>
          </w:tcPr>
          <w:p w14:paraId="79FC7BAA" w14:textId="77777777" w:rsidR="00D405D9" w:rsidRPr="00DE6950" w:rsidRDefault="00D405D9" w:rsidP="00B33BD5">
            <w:pPr>
              <w:spacing w:after="0"/>
              <w:jc w:val="center"/>
              <w:rPr>
                <w:color w:val="000000"/>
                <w:szCs w:val="24"/>
                <w:lang w:val="en-US"/>
              </w:rPr>
            </w:pPr>
            <w:r w:rsidRPr="00DE6950">
              <w:rPr>
                <w:color w:val="000000"/>
                <w:szCs w:val="24"/>
                <w:lang w:val="en-US"/>
              </w:rPr>
              <w:t>3.67</w:t>
            </w:r>
          </w:p>
        </w:tc>
      </w:tr>
      <w:tr w:rsidR="00D405D9" w:rsidRPr="00DE6950" w14:paraId="063DC1B4" w14:textId="77777777" w:rsidTr="009C042B">
        <w:trPr>
          <w:trHeight w:val="330"/>
        </w:trPr>
        <w:tc>
          <w:tcPr>
            <w:tcW w:w="3330" w:type="dxa"/>
            <w:tcBorders>
              <w:top w:val="nil"/>
              <w:left w:val="single" w:sz="8" w:space="0" w:color="auto"/>
              <w:bottom w:val="single" w:sz="4" w:space="0" w:color="auto"/>
              <w:right w:val="nil"/>
            </w:tcBorders>
            <w:shd w:val="clear" w:color="auto" w:fill="auto"/>
            <w:noWrap/>
            <w:vAlign w:val="bottom"/>
            <w:hideMark/>
          </w:tcPr>
          <w:p w14:paraId="229A46C4" w14:textId="77777777" w:rsidR="00D405D9" w:rsidRPr="00DE6950" w:rsidRDefault="00D405D9" w:rsidP="00B33BD5">
            <w:pPr>
              <w:spacing w:after="0"/>
              <w:jc w:val="center"/>
              <w:rPr>
                <w:b/>
                <w:bCs/>
                <w:color w:val="000000"/>
                <w:szCs w:val="24"/>
                <w:lang w:val="en-US"/>
              </w:rPr>
            </w:pPr>
            <w:r w:rsidRPr="00DE6950">
              <w:rPr>
                <w:b/>
                <w:bCs/>
                <w:color w:val="000000"/>
                <w:szCs w:val="24"/>
                <w:lang w:val="en-US"/>
              </w:rPr>
              <w:t>21.2 dBm - 20%</w:t>
            </w:r>
          </w:p>
        </w:tc>
        <w:tc>
          <w:tcPr>
            <w:tcW w:w="1530" w:type="dxa"/>
            <w:tcBorders>
              <w:top w:val="nil"/>
              <w:left w:val="single" w:sz="8" w:space="0" w:color="auto"/>
              <w:bottom w:val="single" w:sz="4" w:space="0" w:color="auto"/>
              <w:right w:val="single" w:sz="4" w:space="0" w:color="auto"/>
            </w:tcBorders>
            <w:shd w:val="clear" w:color="auto" w:fill="auto"/>
            <w:noWrap/>
            <w:vAlign w:val="bottom"/>
            <w:hideMark/>
          </w:tcPr>
          <w:p w14:paraId="13999BE2" w14:textId="77777777" w:rsidR="00D405D9" w:rsidRPr="00DE6950" w:rsidRDefault="00D405D9" w:rsidP="00B33BD5">
            <w:pPr>
              <w:spacing w:after="0"/>
              <w:jc w:val="center"/>
              <w:rPr>
                <w:color w:val="000000"/>
                <w:szCs w:val="24"/>
                <w:lang w:val="en-US"/>
              </w:rPr>
            </w:pPr>
            <w:r w:rsidRPr="00DE6950">
              <w:rPr>
                <w:color w:val="000000"/>
                <w:szCs w:val="24"/>
                <w:lang w:val="en-US"/>
              </w:rPr>
              <w:t>0.02</w:t>
            </w:r>
          </w:p>
        </w:tc>
        <w:tc>
          <w:tcPr>
            <w:tcW w:w="1350" w:type="dxa"/>
            <w:tcBorders>
              <w:top w:val="nil"/>
              <w:left w:val="single" w:sz="8" w:space="0" w:color="auto"/>
              <w:bottom w:val="single" w:sz="4" w:space="0" w:color="auto"/>
              <w:right w:val="single" w:sz="4" w:space="0" w:color="auto"/>
            </w:tcBorders>
            <w:shd w:val="clear" w:color="auto" w:fill="auto"/>
            <w:noWrap/>
            <w:vAlign w:val="bottom"/>
            <w:hideMark/>
          </w:tcPr>
          <w:p w14:paraId="06FDD5F1" w14:textId="77777777" w:rsidR="00D405D9" w:rsidRPr="00DE6950" w:rsidRDefault="00D405D9" w:rsidP="00B33BD5">
            <w:pPr>
              <w:spacing w:after="0"/>
              <w:jc w:val="center"/>
              <w:rPr>
                <w:color w:val="000000"/>
                <w:szCs w:val="24"/>
                <w:lang w:val="en-US"/>
              </w:rPr>
            </w:pPr>
            <w:r w:rsidRPr="00DE6950">
              <w:rPr>
                <w:color w:val="000000"/>
                <w:szCs w:val="24"/>
                <w:lang w:val="en-US"/>
              </w:rPr>
              <w:t>0.90</w:t>
            </w:r>
          </w:p>
        </w:tc>
        <w:tc>
          <w:tcPr>
            <w:tcW w:w="1530" w:type="dxa"/>
            <w:tcBorders>
              <w:top w:val="nil"/>
              <w:left w:val="single" w:sz="8" w:space="0" w:color="auto"/>
              <w:bottom w:val="single" w:sz="4" w:space="0" w:color="auto"/>
              <w:right w:val="single" w:sz="4" w:space="0" w:color="auto"/>
            </w:tcBorders>
            <w:shd w:val="clear" w:color="auto" w:fill="auto"/>
            <w:noWrap/>
            <w:vAlign w:val="bottom"/>
            <w:hideMark/>
          </w:tcPr>
          <w:p w14:paraId="530531CD" w14:textId="77777777" w:rsidR="00D405D9" w:rsidRPr="00DE6950" w:rsidRDefault="00D405D9" w:rsidP="00B33BD5">
            <w:pPr>
              <w:spacing w:after="0"/>
              <w:jc w:val="center"/>
              <w:rPr>
                <w:color w:val="000000"/>
                <w:szCs w:val="24"/>
                <w:lang w:val="en-US"/>
              </w:rPr>
            </w:pPr>
            <w:r w:rsidRPr="00DE6950">
              <w:rPr>
                <w:color w:val="000000"/>
                <w:szCs w:val="24"/>
                <w:lang w:val="en-US"/>
              </w:rPr>
              <w:t>3.29</w:t>
            </w:r>
          </w:p>
        </w:tc>
        <w:tc>
          <w:tcPr>
            <w:tcW w:w="1890" w:type="dxa"/>
            <w:tcBorders>
              <w:top w:val="nil"/>
              <w:left w:val="single" w:sz="8" w:space="0" w:color="auto"/>
              <w:bottom w:val="single" w:sz="4" w:space="0" w:color="auto"/>
              <w:right w:val="single" w:sz="8" w:space="0" w:color="auto"/>
            </w:tcBorders>
            <w:shd w:val="clear" w:color="auto" w:fill="auto"/>
            <w:noWrap/>
            <w:vAlign w:val="bottom"/>
            <w:hideMark/>
          </w:tcPr>
          <w:p w14:paraId="0954689B" w14:textId="77777777" w:rsidR="00D405D9" w:rsidRPr="00DE6950" w:rsidRDefault="00D405D9" w:rsidP="00B33BD5">
            <w:pPr>
              <w:spacing w:after="0"/>
              <w:jc w:val="center"/>
              <w:rPr>
                <w:color w:val="000000"/>
                <w:szCs w:val="24"/>
                <w:lang w:val="en-US"/>
              </w:rPr>
            </w:pPr>
            <w:r w:rsidRPr="00DE6950">
              <w:rPr>
                <w:color w:val="000000"/>
                <w:szCs w:val="24"/>
                <w:lang w:val="en-US"/>
              </w:rPr>
              <w:t>3.84</w:t>
            </w:r>
          </w:p>
        </w:tc>
      </w:tr>
      <w:tr w:rsidR="0057194A" w:rsidRPr="00DE6950" w14:paraId="1BD3047C" w14:textId="77777777" w:rsidTr="009C042B">
        <w:trPr>
          <w:trHeight w:val="330"/>
        </w:trPr>
        <w:tc>
          <w:tcPr>
            <w:tcW w:w="3330" w:type="dxa"/>
            <w:tcBorders>
              <w:top w:val="single" w:sz="4" w:space="0" w:color="auto"/>
              <w:left w:val="single" w:sz="8" w:space="0" w:color="auto"/>
              <w:bottom w:val="single" w:sz="8" w:space="0" w:color="auto"/>
              <w:right w:val="nil"/>
            </w:tcBorders>
            <w:shd w:val="clear" w:color="auto" w:fill="auto"/>
            <w:noWrap/>
            <w:vAlign w:val="bottom"/>
          </w:tcPr>
          <w:p w14:paraId="6E66DFE3" w14:textId="6171CD5E" w:rsidR="0057194A" w:rsidRPr="00DE6950" w:rsidRDefault="0057194A" w:rsidP="00B33BD5">
            <w:pPr>
              <w:spacing w:after="0"/>
              <w:jc w:val="center"/>
              <w:rPr>
                <w:b/>
                <w:bCs/>
                <w:color w:val="000000"/>
                <w:szCs w:val="24"/>
                <w:lang w:val="en-US"/>
              </w:rPr>
            </w:pPr>
            <w:r w:rsidRPr="00DE6950">
              <w:rPr>
                <w:b/>
                <w:bCs/>
                <w:color w:val="000000"/>
                <w:szCs w:val="24"/>
                <w:lang w:val="en-US"/>
              </w:rPr>
              <w:t>21.2 dBm - 80%</w:t>
            </w:r>
          </w:p>
        </w:tc>
        <w:tc>
          <w:tcPr>
            <w:tcW w:w="1530" w:type="dxa"/>
            <w:tcBorders>
              <w:top w:val="single" w:sz="4" w:space="0" w:color="auto"/>
              <w:left w:val="single" w:sz="8" w:space="0" w:color="auto"/>
              <w:bottom w:val="single" w:sz="8" w:space="0" w:color="auto"/>
              <w:right w:val="single" w:sz="4" w:space="0" w:color="auto"/>
            </w:tcBorders>
            <w:shd w:val="clear" w:color="auto" w:fill="auto"/>
            <w:noWrap/>
            <w:vAlign w:val="bottom"/>
          </w:tcPr>
          <w:p w14:paraId="7BA8081D" w14:textId="3B195F3A" w:rsidR="0057194A" w:rsidRPr="00DE6950" w:rsidRDefault="0057194A" w:rsidP="00B33BD5">
            <w:pPr>
              <w:spacing w:after="0"/>
              <w:jc w:val="center"/>
              <w:rPr>
                <w:color w:val="000000"/>
                <w:szCs w:val="24"/>
                <w:lang w:val="en-US"/>
              </w:rPr>
            </w:pPr>
            <w:r w:rsidRPr="00DE6950">
              <w:rPr>
                <w:color w:val="000000"/>
                <w:szCs w:val="24"/>
                <w:lang w:val="en-US"/>
              </w:rPr>
              <w:t>3.82</w:t>
            </w:r>
          </w:p>
        </w:tc>
        <w:tc>
          <w:tcPr>
            <w:tcW w:w="1350" w:type="dxa"/>
            <w:tcBorders>
              <w:top w:val="single" w:sz="4" w:space="0" w:color="auto"/>
              <w:left w:val="single" w:sz="8" w:space="0" w:color="auto"/>
              <w:bottom w:val="single" w:sz="8" w:space="0" w:color="auto"/>
              <w:right w:val="single" w:sz="4" w:space="0" w:color="auto"/>
            </w:tcBorders>
            <w:shd w:val="clear" w:color="auto" w:fill="auto"/>
            <w:noWrap/>
            <w:vAlign w:val="bottom"/>
          </w:tcPr>
          <w:p w14:paraId="784C3C17" w14:textId="576704B1" w:rsidR="0057194A" w:rsidRPr="00DE6950" w:rsidRDefault="0057194A" w:rsidP="00B33BD5">
            <w:pPr>
              <w:spacing w:after="0"/>
              <w:jc w:val="center"/>
              <w:rPr>
                <w:color w:val="000000"/>
                <w:szCs w:val="24"/>
                <w:lang w:val="en-US"/>
              </w:rPr>
            </w:pPr>
            <w:r w:rsidRPr="00DE6950">
              <w:rPr>
                <w:color w:val="000000"/>
                <w:szCs w:val="24"/>
                <w:lang w:val="en-US"/>
              </w:rPr>
              <w:t>3.90</w:t>
            </w:r>
          </w:p>
        </w:tc>
        <w:tc>
          <w:tcPr>
            <w:tcW w:w="1530" w:type="dxa"/>
            <w:tcBorders>
              <w:top w:val="single" w:sz="4" w:space="0" w:color="auto"/>
              <w:left w:val="single" w:sz="8" w:space="0" w:color="auto"/>
              <w:bottom w:val="single" w:sz="8" w:space="0" w:color="auto"/>
              <w:right w:val="single" w:sz="4" w:space="0" w:color="auto"/>
            </w:tcBorders>
            <w:shd w:val="clear" w:color="auto" w:fill="auto"/>
            <w:noWrap/>
            <w:vAlign w:val="bottom"/>
          </w:tcPr>
          <w:p w14:paraId="1FAA2C6D" w14:textId="262BE53A" w:rsidR="0057194A" w:rsidRPr="00DE6950" w:rsidRDefault="0057194A" w:rsidP="00B33BD5">
            <w:pPr>
              <w:spacing w:after="0"/>
              <w:jc w:val="center"/>
              <w:rPr>
                <w:color w:val="000000"/>
                <w:szCs w:val="24"/>
                <w:lang w:val="en-US"/>
              </w:rPr>
            </w:pPr>
            <w:r w:rsidRPr="00DE6950">
              <w:rPr>
                <w:color w:val="000000"/>
                <w:szCs w:val="24"/>
                <w:lang w:val="en-US"/>
              </w:rPr>
              <w:t>3.92</w:t>
            </w:r>
          </w:p>
        </w:tc>
        <w:tc>
          <w:tcPr>
            <w:tcW w:w="1890" w:type="dxa"/>
            <w:tcBorders>
              <w:top w:val="single" w:sz="4" w:space="0" w:color="auto"/>
              <w:left w:val="single" w:sz="8" w:space="0" w:color="auto"/>
              <w:bottom w:val="single" w:sz="8" w:space="0" w:color="auto"/>
              <w:right w:val="single" w:sz="8" w:space="0" w:color="auto"/>
            </w:tcBorders>
            <w:shd w:val="clear" w:color="auto" w:fill="auto"/>
            <w:noWrap/>
            <w:vAlign w:val="bottom"/>
          </w:tcPr>
          <w:p w14:paraId="5E7724FE" w14:textId="7D059D43" w:rsidR="0057194A" w:rsidRPr="00DE6950" w:rsidRDefault="0057194A" w:rsidP="00B33BD5">
            <w:pPr>
              <w:spacing w:after="0"/>
              <w:jc w:val="center"/>
              <w:rPr>
                <w:color w:val="000000"/>
                <w:szCs w:val="24"/>
                <w:lang w:val="en-US"/>
              </w:rPr>
            </w:pPr>
            <w:r w:rsidRPr="00DE6950">
              <w:rPr>
                <w:color w:val="000000"/>
                <w:szCs w:val="24"/>
                <w:lang w:val="en-US"/>
              </w:rPr>
              <w:t>3.94</w:t>
            </w:r>
          </w:p>
        </w:tc>
      </w:tr>
    </w:tbl>
    <w:p w14:paraId="0D9E87FB" w14:textId="2CF4F3B7" w:rsidR="007A34E8" w:rsidRDefault="007A34E8" w:rsidP="00B33BD5">
      <w:pPr>
        <w:jc w:val="center"/>
      </w:pPr>
    </w:p>
    <w:p w14:paraId="001B16A8" w14:textId="46FE8C88" w:rsidR="00A22D8B" w:rsidRDefault="00A22D8B" w:rsidP="00B33BD5">
      <w:pPr>
        <w:pStyle w:val="Caption"/>
        <w:keepNext/>
        <w:jc w:val="center"/>
      </w:pPr>
      <w:r>
        <w:t xml:space="preserve">Table </w:t>
      </w:r>
      <w:r>
        <w:fldChar w:fldCharType="begin"/>
      </w:r>
      <w:r>
        <w:instrText xml:space="preserve"> SEQ Table \* ARABIC </w:instrText>
      </w:r>
      <w:r>
        <w:fldChar w:fldCharType="separate"/>
      </w:r>
      <w:r w:rsidR="002A1E25">
        <w:rPr>
          <w:noProof/>
        </w:rPr>
        <w:t>3</w:t>
      </w:r>
      <w:r>
        <w:fldChar w:fldCharType="end"/>
      </w:r>
      <w:r>
        <w:t>. 50%-tile throughput loss compared to 25.2 dBm UE peak EIRP</w:t>
      </w:r>
    </w:p>
    <w:tbl>
      <w:tblPr>
        <w:tblW w:w="9509" w:type="dxa"/>
        <w:tblLook w:val="04A0" w:firstRow="1" w:lastRow="0" w:firstColumn="1" w:lastColumn="0" w:noHBand="0" w:noVBand="1"/>
      </w:tblPr>
      <w:tblGrid>
        <w:gridCol w:w="3330"/>
        <w:gridCol w:w="1710"/>
        <w:gridCol w:w="1440"/>
        <w:gridCol w:w="1657"/>
        <w:gridCol w:w="1372"/>
      </w:tblGrid>
      <w:tr w:rsidR="00096CA2" w:rsidRPr="00DE6950" w14:paraId="7ECF061C" w14:textId="77777777" w:rsidTr="00FF38A3">
        <w:trPr>
          <w:trHeight w:val="342"/>
        </w:trPr>
        <w:tc>
          <w:tcPr>
            <w:tcW w:w="3330" w:type="dxa"/>
            <w:tcBorders>
              <w:top w:val="nil"/>
              <w:left w:val="nil"/>
              <w:bottom w:val="single" w:sz="8" w:space="0" w:color="auto"/>
              <w:right w:val="nil"/>
            </w:tcBorders>
            <w:shd w:val="clear" w:color="auto" w:fill="auto"/>
            <w:noWrap/>
            <w:vAlign w:val="bottom"/>
            <w:hideMark/>
          </w:tcPr>
          <w:p w14:paraId="50E7A44E" w14:textId="0F1B5BDA" w:rsidR="00096CA2" w:rsidRPr="00DE6950" w:rsidRDefault="00096CA2" w:rsidP="00B33BD5">
            <w:pPr>
              <w:spacing w:after="0"/>
              <w:jc w:val="center"/>
              <w:rPr>
                <w:lang w:val="en-US"/>
              </w:rPr>
            </w:pPr>
          </w:p>
        </w:tc>
        <w:tc>
          <w:tcPr>
            <w:tcW w:w="6179" w:type="dxa"/>
            <w:gridSpan w:val="4"/>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61972764" w14:textId="77777777" w:rsidR="00096CA2" w:rsidRPr="00DE6950" w:rsidRDefault="00096CA2" w:rsidP="00B33BD5">
            <w:pPr>
              <w:spacing w:after="0"/>
              <w:jc w:val="center"/>
              <w:rPr>
                <w:b/>
                <w:bCs/>
                <w:color w:val="000000"/>
                <w:lang w:val="en-US"/>
              </w:rPr>
            </w:pPr>
            <w:r w:rsidRPr="00DE6950">
              <w:rPr>
                <w:b/>
                <w:bCs/>
                <w:color w:val="000000"/>
                <w:lang w:val="en-US"/>
              </w:rPr>
              <w:t>50%-tile throughput loss compared to 25.2 dBm EIRP</w:t>
            </w:r>
          </w:p>
        </w:tc>
      </w:tr>
      <w:tr w:rsidR="00096CA2" w:rsidRPr="00DE6950" w14:paraId="59AD9FA3" w14:textId="77777777" w:rsidTr="00FF38A3">
        <w:trPr>
          <w:trHeight w:val="342"/>
        </w:trPr>
        <w:tc>
          <w:tcPr>
            <w:tcW w:w="3330" w:type="dxa"/>
            <w:tcBorders>
              <w:top w:val="nil"/>
              <w:left w:val="single" w:sz="8" w:space="0" w:color="auto"/>
              <w:bottom w:val="single" w:sz="8" w:space="0" w:color="auto"/>
              <w:right w:val="nil"/>
            </w:tcBorders>
            <w:shd w:val="clear" w:color="auto" w:fill="auto"/>
            <w:noWrap/>
            <w:vAlign w:val="bottom"/>
            <w:hideMark/>
          </w:tcPr>
          <w:p w14:paraId="672A57C1" w14:textId="77777777" w:rsidR="00096CA2" w:rsidRPr="00DE6950" w:rsidRDefault="00096CA2" w:rsidP="00B33BD5">
            <w:pPr>
              <w:spacing w:after="0"/>
              <w:jc w:val="center"/>
              <w:rPr>
                <w:b/>
                <w:bCs/>
                <w:color w:val="000000"/>
                <w:lang w:val="en-US"/>
              </w:rPr>
            </w:pPr>
            <w:r w:rsidRPr="00DE6950">
              <w:rPr>
                <w:b/>
                <w:bCs/>
                <w:color w:val="000000"/>
                <w:lang w:val="en-US"/>
              </w:rPr>
              <w:t>Max EIRP [dBm] - % indoor UE</w:t>
            </w:r>
          </w:p>
        </w:tc>
        <w:tc>
          <w:tcPr>
            <w:tcW w:w="1710" w:type="dxa"/>
            <w:tcBorders>
              <w:top w:val="nil"/>
              <w:left w:val="single" w:sz="8" w:space="0" w:color="auto"/>
              <w:bottom w:val="single" w:sz="8" w:space="0" w:color="auto"/>
              <w:right w:val="single" w:sz="4" w:space="0" w:color="auto"/>
            </w:tcBorders>
            <w:shd w:val="clear" w:color="auto" w:fill="auto"/>
            <w:noWrap/>
            <w:vAlign w:val="bottom"/>
            <w:hideMark/>
          </w:tcPr>
          <w:p w14:paraId="5E75836B" w14:textId="77777777" w:rsidR="00096CA2" w:rsidRPr="00DE6950" w:rsidRDefault="00096CA2" w:rsidP="00B33BD5">
            <w:pPr>
              <w:spacing w:after="0"/>
              <w:jc w:val="center"/>
              <w:rPr>
                <w:b/>
                <w:bCs/>
                <w:color w:val="000000"/>
                <w:lang w:val="en-US"/>
              </w:rPr>
            </w:pPr>
            <w:r w:rsidRPr="00DE6950">
              <w:rPr>
                <w:b/>
                <w:bCs/>
                <w:color w:val="000000"/>
                <w:lang w:val="en-US"/>
              </w:rPr>
              <w:t>ISD = 100m</w:t>
            </w:r>
          </w:p>
        </w:tc>
        <w:tc>
          <w:tcPr>
            <w:tcW w:w="1440" w:type="dxa"/>
            <w:tcBorders>
              <w:top w:val="nil"/>
              <w:left w:val="nil"/>
              <w:bottom w:val="single" w:sz="8" w:space="0" w:color="auto"/>
              <w:right w:val="single" w:sz="4" w:space="0" w:color="auto"/>
            </w:tcBorders>
            <w:shd w:val="clear" w:color="auto" w:fill="auto"/>
            <w:noWrap/>
            <w:vAlign w:val="bottom"/>
            <w:hideMark/>
          </w:tcPr>
          <w:p w14:paraId="5D3F86D2" w14:textId="77777777" w:rsidR="00096CA2" w:rsidRPr="00DE6950" w:rsidRDefault="00096CA2" w:rsidP="00B33BD5">
            <w:pPr>
              <w:spacing w:after="0"/>
              <w:jc w:val="center"/>
              <w:rPr>
                <w:b/>
                <w:bCs/>
                <w:color w:val="000000"/>
                <w:lang w:val="en-US"/>
              </w:rPr>
            </w:pPr>
            <w:r w:rsidRPr="00DE6950">
              <w:rPr>
                <w:b/>
                <w:bCs/>
                <w:color w:val="000000"/>
                <w:lang w:val="en-US"/>
              </w:rPr>
              <w:t>ISD = 200m</w:t>
            </w:r>
          </w:p>
        </w:tc>
        <w:tc>
          <w:tcPr>
            <w:tcW w:w="1657" w:type="dxa"/>
            <w:tcBorders>
              <w:top w:val="nil"/>
              <w:left w:val="nil"/>
              <w:bottom w:val="single" w:sz="8" w:space="0" w:color="auto"/>
              <w:right w:val="single" w:sz="4" w:space="0" w:color="auto"/>
            </w:tcBorders>
            <w:shd w:val="clear" w:color="auto" w:fill="auto"/>
            <w:noWrap/>
            <w:vAlign w:val="bottom"/>
            <w:hideMark/>
          </w:tcPr>
          <w:p w14:paraId="69241628" w14:textId="77777777" w:rsidR="00096CA2" w:rsidRPr="00DE6950" w:rsidRDefault="00096CA2" w:rsidP="00B33BD5">
            <w:pPr>
              <w:spacing w:after="0"/>
              <w:jc w:val="center"/>
              <w:rPr>
                <w:b/>
                <w:bCs/>
                <w:color w:val="000000"/>
                <w:lang w:val="en-US"/>
              </w:rPr>
            </w:pPr>
            <w:r w:rsidRPr="00DE6950">
              <w:rPr>
                <w:b/>
                <w:bCs/>
                <w:color w:val="000000"/>
                <w:lang w:val="en-US"/>
              </w:rPr>
              <w:t>ISD = 300m</w:t>
            </w:r>
          </w:p>
        </w:tc>
        <w:tc>
          <w:tcPr>
            <w:tcW w:w="0" w:type="auto"/>
            <w:tcBorders>
              <w:top w:val="nil"/>
              <w:left w:val="nil"/>
              <w:bottom w:val="single" w:sz="8" w:space="0" w:color="auto"/>
              <w:right w:val="single" w:sz="8" w:space="0" w:color="auto"/>
            </w:tcBorders>
            <w:shd w:val="clear" w:color="auto" w:fill="auto"/>
            <w:noWrap/>
            <w:vAlign w:val="bottom"/>
            <w:hideMark/>
          </w:tcPr>
          <w:p w14:paraId="2872DDA4" w14:textId="77777777" w:rsidR="00096CA2" w:rsidRPr="00DE6950" w:rsidRDefault="00096CA2" w:rsidP="00B33BD5">
            <w:pPr>
              <w:spacing w:after="0"/>
              <w:jc w:val="center"/>
              <w:rPr>
                <w:b/>
                <w:bCs/>
                <w:color w:val="000000"/>
                <w:lang w:val="en-US"/>
              </w:rPr>
            </w:pPr>
            <w:r w:rsidRPr="00DE6950">
              <w:rPr>
                <w:b/>
                <w:bCs/>
                <w:color w:val="000000"/>
                <w:lang w:val="en-US"/>
              </w:rPr>
              <w:t>ISD = 400m</w:t>
            </w:r>
          </w:p>
        </w:tc>
      </w:tr>
      <w:tr w:rsidR="00096CA2" w:rsidRPr="00DE6950" w14:paraId="763FE9F1" w14:textId="77777777" w:rsidTr="00FF38A3">
        <w:trPr>
          <w:trHeight w:val="342"/>
        </w:trPr>
        <w:tc>
          <w:tcPr>
            <w:tcW w:w="3330" w:type="dxa"/>
            <w:tcBorders>
              <w:top w:val="nil"/>
              <w:left w:val="single" w:sz="8" w:space="0" w:color="auto"/>
              <w:bottom w:val="single" w:sz="8" w:space="0" w:color="auto"/>
              <w:right w:val="single" w:sz="8" w:space="0" w:color="auto"/>
            </w:tcBorders>
            <w:shd w:val="clear" w:color="auto" w:fill="auto"/>
            <w:noWrap/>
            <w:vAlign w:val="bottom"/>
            <w:hideMark/>
          </w:tcPr>
          <w:p w14:paraId="74D21FDB" w14:textId="77777777" w:rsidR="00096CA2" w:rsidRPr="00DE6950" w:rsidRDefault="00096CA2" w:rsidP="00B33BD5">
            <w:pPr>
              <w:spacing w:after="0"/>
              <w:jc w:val="center"/>
              <w:rPr>
                <w:b/>
                <w:bCs/>
                <w:color w:val="000000"/>
                <w:lang w:val="en-US"/>
              </w:rPr>
            </w:pPr>
            <w:r w:rsidRPr="00DE6950">
              <w:rPr>
                <w:b/>
                <w:bCs/>
                <w:color w:val="000000"/>
                <w:lang w:val="en-US"/>
              </w:rPr>
              <w:t>21.2 dBm - 0%</w:t>
            </w:r>
          </w:p>
        </w:tc>
        <w:tc>
          <w:tcPr>
            <w:tcW w:w="1710" w:type="dxa"/>
            <w:tcBorders>
              <w:top w:val="nil"/>
              <w:left w:val="nil"/>
              <w:bottom w:val="single" w:sz="8" w:space="0" w:color="auto"/>
              <w:right w:val="single" w:sz="4" w:space="0" w:color="auto"/>
            </w:tcBorders>
            <w:shd w:val="clear" w:color="auto" w:fill="auto"/>
            <w:noWrap/>
            <w:vAlign w:val="bottom"/>
            <w:hideMark/>
          </w:tcPr>
          <w:p w14:paraId="3C1D0720" w14:textId="77777777" w:rsidR="00096CA2" w:rsidRPr="00DE6950" w:rsidRDefault="00096CA2" w:rsidP="00B33BD5">
            <w:pPr>
              <w:spacing w:after="0"/>
              <w:jc w:val="center"/>
              <w:rPr>
                <w:color w:val="000000"/>
                <w:lang w:val="en-US"/>
              </w:rPr>
            </w:pPr>
            <w:r w:rsidRPr="00DE6950">
              <w:rPr>
                <w:color w:val="000000"/>
                <w:lang w:val="en-US"/>
              </w:rPr>
              <w:t>0%</w:t>
            </w:r>
          </w:p>
        </w:tc>
        <w:tc>
          <w:tcPr>
            <w:tcW w:w="1440" w:type="dxa"/>
            <w:tcBorders>
              <w:top w:val="nil"/>
              <w:left w:val="single" w:sz="8" w:space="0" w:color="auto"/>
              <w:bottom w:val="single" w:sz="8" w:space="0" w:color="auto"/>
              <w:right w:val="single" w:sz="4" w:space="0" w:color="auto"/>
            </w:tcBorders>
            <w:shd w:val="clear" w:color="auto" w:fill="auto"/>
            <w:noWrap/>
            <w:vAlign w:val="bottom"/>
            <w:hideMark/>
          </w:tcPr>
          <w:p w14:paraId="40A72620" w14:textId="77777777" w:rsidR="00096CA2" w:rsidRPr="00DE6950" w:rsidRDefault="00096CA2" w:rsidP="00B33BD5">
            <w:pPr>
              <w:spacing w:after="0"/>
              <w:jc w:val="center"/>
              <w:rPr>
                <w:color w:val="000000"/>
                <w:lang w:val="en-US"/>
              </w:rPr>
            </w:pPr>
            <w:r w:rsidRPr="00DE6950">
              <w:rPr>
                <w:color w:val="000000"/>
                <w:lang w:val="en-US"/>
              </w:rPr>
              <w:t>1%</w:t>
            </w:r>
          </w:p>
        </w:tc>
        <w:tc>
          <w:tcPr>
            <w:tcW w:w="1657" w:type="dxa"/>
            <w:tcBorders>
              <w:top w:val="nil"/>
              <w:left w:val="single" w:sz="8" w:space="0" w:color="auto"/>
              <w:bottom w:val="single" w:sz="8" w:space="0" w:color="auto"/>
              <w:right w:val="single" w:sz="4" w:space="0" w:color="auto"/>
            </w:tcBorders>
            <w:shd w:val="clear" w:color="auto" w:fill="auto"/>
            <w:noWrap/>
            <w:vAlign w:val="bottom"/>
            <w:hideMark/>
          </w:tcPr>
          <w:p w14:paraId="676E68BF" w14:textId="77777777" w:rsidR="00096CA2" w:rsidRPr="00DE6950" w:rsidRDefault="00096CA2" w:rsidP="00B33BD5">
            <w:pPr>
              <w:spacing w:after="0"/>
              <w:jc w:val="center"/>
              <w:rPr>
                <w:color w:val="000000"/>
                <w:lang w:val="en-US"/>
              </w:rPr>
            </w:pPr>
            <w:r w:rsidRPr="00DE6950">
              <w:rPr>
                <w:color w:val="000000"/>
                <w:lang w:val="en-US"/>
              </w:rPr>
              <w:t>13%</w:t>
            </w:r>
          </w:p>
        </w:tc>
        <w:tc>
          <w:tcPr>
            <w:tcW w:w="0" w:type="auto"/>
            <w:tcBorders>
              <w:top w:val="nil"/>
              <w:left w:val="single" w:sz="8" w:space="0" w:color="auto"/>
              <w:bottom w:val="single" w:sz="8" w:space="0" w:color="auto"/>
              <w:right w:val="single" w:sz="4" w:space="0" w:color="auto"/>
            </w:tcBorders>
            <w:shd w:val="clear" w:color="auto" w:fill="auto"/>
            <w:noWrap/>
            <w:vAlign w:val="bottom"/>
            <w:hideMark/>
          </w:tcPr>
          <w:p w14:paraId="11B56066" w14:textId="77777777" w:rsidR="00096CA2" w:rsidRPr="00DE6950" w:rsidRDefault="00096CA2" w:rsidP="00B33BD5">
            <w:pPr>
              <w:spacing w:after="0"/>
              <w:jc w:val="center"/>
              <w:rPr>
                <w:color w:val="000000"/>
                <w:lang w:val="en-US"/>
              </w:rPr>
            </w:pPr>
            <w:r w:rsidRPr="00DE6950">
              <w:rPr>
                <w:color w:val="000000"/>
                <w:lang w:val="en-US"/>
              </w:rPr>
              <w:t>22%</w:t>
            </w:r>
          </w:p>
        </w:tc>
      </w:tr>
      <w:tr w:rsidR="00096CA2" w:rsidRPr="00DE6950" w14:paraId="240C246B" w14:textId="77777777" w:rsidTr="009C042B">
        <w:trPr>
          <w:trHeight w:val="342"/>
        </w:trPr>
        <w:tc>
          <w:tcPr>
            <w:tcW w:w="3330" w:type="dxa"/>
            <w:tcBorders>
              <w:top w:val="nil"/>
              <w:left w:val="single" w:sz="8" w:space="0" w:color="auto"/>
              <w:bottom w:val="single" w:sz="4" w:space="0" w:color="auto"/>
              <w:right w:val="nil"/>
            </w:tcBorders>
            <w:shd w:val="clear" w:color="auto" w:fill="auto"/>
            <w:noWrap/>
            <w:vAlign w:val="bottom"/>
            <w:hideMark/>
          </w:tcPr>
          <w:p w14:paraId="0CFEA7EF" w14:textId="77777777" w:rsidR="00096CA2" w:rsidRPr="00DE6950" w:rsidRDefault="00096CA2" w:rsidP="00B33BD5">
            <w:pPr>
              <w:spacing w:after="0"/>
              <w:jc w:val="center"/>
              <w:rPr>
                <w:b/>
                <w:bCs/>
                <w:color w:val="000000"/>
                <w:lang w:val="en-US"/>
              </w:rPr>
            </w:pPr>
            <w:r w:rsidRPr="00DE6950">
              <w:rPr>
                <w:b/>
                <w:bCs/>
                <w:color w:val="000000"/>
                <w:lang w:val="en-US"/>
              </w:rPr>
              <w:t>21.2 dBm - 20%</w:t>
            </w:r>
          </w:p>
        </w:tc>
        <w:tc>
          <w:tcPr>
            <w:tcW w:w="1710" w:type="dxa"/>
            <w:tcBorders>
              <w:top w:val="nil"/>
              <w:left w:val="single" w:sz="8" w:space="0" w:color="auto"/>
              <w:bottom w:val="single" w:sz="4" w:space="0" w:color="auto"/>
              <w:right w:val="single" w:sz="4" w:space="0" w:color="auto"/>
            </w:tcBorders>
            <w:shd w:val="clear" w:color="auto" w:fill="auto"/>
            <w:noWrap/>
            <w:vAlign w:val="bottom"/>
            <w:hideMark/>
          </w:tcPr>
          <w:p w14:paraId="207D2629" w14:textId="77777777" w:rsidR="00096CA2" w:rsidRPr="00DE6950" w:rsidRDefault="00096CA2" w:rsidP="00B33BD5">
            <w:pPr>
              <w:spacing w:after="0"/>
              <w:jc w:val="center"/>
              <w:rPr>
                <w:color w:val="000000"/>
                <w:lang w:val="en-US"/>
              </w:rPr>
            </w:pPr>
            <w:r w:rsidRPr="00DE6950">
              <w:rPr>
                <w:color w:val="000000"/>
                <w:lang w:val="en-US"/>
              </w:rPr>
              <w:t>0%</w:t>
            </w:r>
          </w:p>
        </w:tc>
        <w:tc>
          <w:tcPr>
            <w:tcW w:w="1440" w:type="dxa"/>
            <w:tcBorders>
              <w:top w:val="nil"/>
              <w:left w:val="single" w:sz="8" w:space="0" w:color="auto"/>
              <w:bottom w:val="single" w:sz="4" w:space="0" w:color="auto"/>
              <w:right w:val="single" w:sz="4" w:space="0" w:color="auto"/>
            </w:tcBorders>
            <w:shd w:val="clear" w:color="auto" w:fill="auto"/>
            <w:noWrap/>
            <w:vAlign w:val="bottom"/>
            <w:hideMark/>
          </w:tcPr>
          <w:p w14:paraId="7C2DBE6B" w14:textId="77777777" w:rsidR="00096CA2" w:rsidRPr="00DE6950" w:rsidRDefault="00096CA2" w:rsidP="00B33BD5">
            <w:pPr>
              <w:spacing w:after="0"/>
              <w:jc w:val="center"/>
              <w:rPr>
                <w:color w:val="000000"/>
                <w:lang w:val="en-US"/>
              </w:rPr>
            </w:pPr>
            <w:r w:rsidRPr="00DE6950">
              <w:rPr>
                <w:color w:val="000000"/>
                <w:lang w:val="en-US"/>
              </w:rPr>
              <w:t>4%</w:t>
            </w:r>
          </w:p>
        </w:tc>
        <w:tc>
          <w:tcPr>
            <w:tcW w:w="1657" w:type="dxa"/>
            <w:tcBorders>
              <w:top w:val="nil"/>
              <w:left w:val="single" w:sz="8" w:space="0" w:color="auto"/>
              <w:bottom w:val="single" w:sz="4" w:space="0" w:color="auto"/>
              <w:right w:val="single" w:sz="4" w:space="0" w:color="auto"/>
            </w:tcBorders>
            <w:shd w:val="clear" w:color="auto" w:fill="auto"/>
            <w:noWrap/>
            <w:vAlign w:val="bottom"/>
            <w:hideMark/>
          </w:tcPr>
          <w:p w14:paraId="01EF12AD" w14:textId="77777777" w:rsidR="00096CA2" w:rsidRPr="00DE6950" w:rsidRDefault="00096CA2" w:rsidP="00B33BD5">
            <w:pPr>
              <w:spacing w:after="0"/>
              <w:jc w:val="center"/>
              <w:rPr>
                <w:color w:val="000000"/>
                <w:lang w:val="en-US"/>
              </w:rPr>
            </w:pPr>
            <w:r w:rsidRPr="00DE6950">
              <w:rPr>
                <w:color w:val="000000"/>
                <w:lang w:val="en-US"/>
              </w:rPr>
              <w:t>18%</w:t>
            </w:r>
          </w:p>
        </w:tc>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4BAC1771" w14:textId="77777777" w:rsidR="00096CA2" w:rsidRPr="00DE6950" w:rsidRDefault="00096CA2" w:rsidP="00B33BD5">
            <w:pPr>
              <w:spacing w:after="0"/>
              <w:jc w:val="center"/>
              <w:rPr>
                <w:color w:val="000000"/>
                <w:lang w:val="en-US"/>
              </w:rPr>
            </w:pPr>
            <w:r w:rsidRPr="00DE6950">
              <w:rPr>
                <w:color w:val="000000"/>
                <w:lang w:val="en-US"/>
              </w:rPr>
              <w:t>28%</w:t>
            </w:r>
          </w:p>
        </w:tc>
      </w:tr>
      <w:tr w:rsidR="00805E92" w:rsidRPr="00DE6950" w14:paraId="70A625BF" w14:textId="77777777" w:rsidTr="009C042B">
        <w:trPr>
          <w:trHeight w:val="342"/>
        </w:trPr>
        <w:tc>
          <w:tcPr>
            <w:tcW w:w="3330" w:type="dxa"/>
            <w:tcBorders>
              <w:top w:val="single" w:sz="4" w:space="0" w:color="auto"/>
              <w:left w:val="single" w:sz="8" w:space="0" w:color="auto"/>
              <w:bottom w:val="single" w:sz="8" w:space="0" w:color="auto"/>
              <w:right w:val="nil"/>
            </w:tcBorders>
            <w:shd w:val="clear" w:color="auto" w:fill="auto"/>
            <w:noWrap/>
            <w:vAlign w:val="bottom"/>
          </w:tcPr>
          <w:p w14:paraId="700A7FE6" w14:textId="16CB7839" w:rsidR="00805E92" w:rsidRPr="00DE6950" w:rsidRDefault="00805E92" w:rsidP="00B33BD5">
            <w:pPr>
              <w:spacing w:after="0"/>
              <w:jc w:val="center"/>
              <w:rPr>
                <w:b/>
                <w:bCs/>
                <w:color w:val="000000"/>
                <w:lang w:val="en-US"/>
              </w:rPr>
            </w:pPr>
            <w:r w:rsidRPr="00DE6950">
              <w:rPr>
                <w:b/>
                <w:bCs/>
                <w:color w:val="000000"/>
                <w:lang w:val="en-US"/>
              </w:rPr>
              <w:t>21.2 dBm - 80%</w:t>
            </w:r>
          </w:p>
        </w:tc>
        <w:tc>
          <w:tcPr>
            <w:tcW w:w="1710" w:type="dxa"/>
            <w:tcBorders>
              <w:top w:val="single" w:sz="4" w:space="0" w:color="auto"/>
              <w:left w:val="single" w:sz="8" w:space="0" w:color="auto"/>
              <w:bottom w:val="single" w:sz="8" w:space="0" w:color="auto"/>
              <w:right w:val="single" w:sz="4" w:space="0" w:color="auto"/>
            </w:tcBorders>
            <w:shd w:val="clear" w:color="auto" w:fill="auto"/>
            <w:noWrap/>
            <w:vAlign w:val="bottom"/>
          </w:tcPr>
          <w:p w14:paraId="5DD98B78" w14:textId="31C0661B" w:rsidR="00805E92" w:rsidRPr="00DE6950" w:rsidRDefault="00805E92" w:rsidP="00B33BD5">
            <w:pPr>
              <w:spacing w:after="0"/>
              <w:jc w:val="center"/>
              <w:rPr>
                <w:color w:val="000000"/>
                <w:lang w:val="en-US"/>
              </w:rPr>
            </w:pPr>
            <w:r w:rsidRPr="00DE6950">
              <w:rPr>
                <w:color w:val="000000"/>
                <w:lang w:val="en-US"/>
              </w:rPr>
              <w:t>25%</w:t>
            </w:r>
          </w:p>
        </w:tc>
        <w:tc>
          <w:tcPr>
            <w:tcW w:w="1440" w:type="dxa"/>
            <w:tcBorders>
              <w:top w:val="single" w:sz="4" w:space="0" w:color="auto"/>
              <w:left w:val="single" w:sz="8" w:space="0" w:color="auto"/>
              <w:bottom w:val="single" w:sz="8" w:space="0" w:color="auto"/>
              <w:right w:val="single" w:sz="4" w:space="0" w:color="auto"/>
            </w:tcBorders>
            <w:shd w:val="clear" w:color="auto" w:fill="auto"/>
            <w:noWrap/>
            <w:vAlign w:val="bottom"/>
          </w:tcPr>
          <w:p w14:paraId="7DC8709A" w14:textId="3D19EACE" w:rsidR="00805E92" w:rsidRPr="00DE6950" w:rsidRDefault="00805E92" w:rsidP="00B33BD5">
            <w:pPr>
              <w:spacing w:after="0"/>
              <w:jc w:val="center"/>
              <w:rPr>
                <w:color w:val="000000"/>
                <w:lang w:val="en-US"/>
              </w:rPr>
            </w:pPr>
            <w:r w:rsidRPr="00DE6950">
              <w:rPr>
                <w:color w:val="000000"/>
                <w:lang w:val="en-US"/>
              </w:rPr>
              <w:t>44%</w:t>
            </w:r>
          </w:p>
        </w:tc>
        <w:tc>
          <w:tcPr>
            <w:tcW w:w="1657" w:type="dxa"/>
            <w:tcBorders>
              <w:top w:val="single" w:sz="4" w:space="0" w:color="auto"/>
              <w:left w:val="single" w:sz="8" w:space="0" w:color="auto"/>
              <w:bottom w:val="single" w:sz="8" w:space="0" w:color="auto"/>
              <w:right w:val="single" w:sz="4" w:space="0" w:color="auto"/>
            </w:tcBorders>
            <w:shd w:val="clear" w:color="auto" w:fill="auto"/>
            <w:noWrap/>
            <w:vAlign w:val="bottom"/>
          </w:tcPr>
          <w:p w14:paraId="0D94C75F" w14:textId="2651C83D" w:rsidR="00805E92" w:rsidRPr="00DE6950" w:rsidRDefault="00805E92" w:rsidP="00B33BD5">
            <w:pPr>
              <w:spacing w:after="0"/>
              <w:jc w:val="center"/>
              <w:rPr>
                <w:color w:val="000000"/>
                <w:lang w:val="en-US"/>
              </w:rPr>
            </w:pPr>
            <w:r w:rsidRPr="00DE6950">
              <w:rPr>
                <w:color w:val="000000"/>
                <w:lang w:val="en-US"/>
              </w:rPr>
              <w:t>55%</w:t>
            </w:r>
          </w:p>
        </w:tc>
        <w:tc>
          <w:tcPr>
            <w:tcW w:w="0" w:type="auto"/>
            <w:tcBorders>
              <w:top w:val="single" w:sz="4" w:space="0" w:color="auto"/>
              <w:left w:val="single" w:sz="8" w:space="0" w:color="auto"/>
              <w:bottom w:val="single" w:sz="8" w:space="0" w:color="auto"/>
              <w:right w:val="single" w:sz="4" w:space="0" w:color="auto"/>
            </w:tcBorders>
            <w:shd w:val="clear" w:color="auto" w:fill="auto"/>
            <w:noWrap/>
            <w:vAlign w:val="bottom"/>
          </w:tcPr>
          <w:p w14:paraId="1FB15211" w14:textId="2A7B991D" w:rsidR="00805E92" w:rsidRPr="00DE6950" w:rsidRDefault="00805E92" w:rsidP="00B33BD5">
            <w:pPr>
              <w:spacing w:after="0"/>
              <w:jc w:val="center"/>
              <w:rPr>
                <w:color w:val="000000"/>
                <w:lang w:val="en-US"/>
              </w:rPr>
            </w:pPr>
            <w:r w:rsidRPr="00DE6950">
              <w:rPr>
                <w:color w:val="000000"/>
                <w:lang w:val="en-US"/>
              </w:rPr>
              <w:t>100%</w:t>
            </w:r>
          </w:p>
        </w:tc>
      </w:tr>
    </w:tbl>
    <w:p w14:paraId="69B421E9" w14:textId="77777777" w:rsidR="00A22D8B" w:rsidRPr="00DE6950" w:rsidRDefault="00A22D8B" w:rsidP="00B33BD5">
      <w:pPr>
        <w:jc w:val="center"/>
      </w:pPr>
    </w:p>
    <w:p w14:paraId="1BD3C059" w14:textId="3514029E" w:rsidR="00D86E20" w:rsidRPr="00DE6950" w:rsidRDefault="00D86E20" w:rsidP="00B33BD5">
      <w:pPr>
        <w:pStyle w:val="Caption"/>
        <w:keepNext/>
        <w:jc w:val="center"/>
      </w:pPr>
      <w:r w:rsidRPr="00DE6950">
        <w:t xml:space="preserve">Table </w:t>
      </w:r>
      <w:r w:rsidRPr="00DE6950">
        <w:fldChar w:fldCharType="begin"/>
      </w:r>
      <w:r w:rsidRPr="00DE6950">
        <w:instrText xml:space="preserve"> SEQ Table \* ARABIC </w:instrText>
      </w:r>
      <w:r w:rsidRPr="00DE6950">
        <w:fldChar w:fldCharType="separate"/>
      </w:r>
      <w:r w:rsidR="002A1E25" w:rsidRPr="00DE6950">
        <w:rPr>
          <w:noProof/>
        </w:rPr>
        <w:t>4</w:t>
      </w:r>
      <w:r w:rsidRPr="00DE6950">
        <w:fldChar w:fldCharType="end"/>
      </w:r>
      <w:r w:rsidRPr="00DE6950">
        <w:t>. 5%-tile SINR loss [dB] compared to 25.2 dBm UE peak EIRP</w:t>
      </w:r>
    </w:p>
    <w:tbl>
      <w:tblPr>
        <w:tblW w:w="9540" w:type="dxa"/>
        <w:tblLook w:val="04A0" w:firstRow="1" w:lastRow="0" w:firstColumn="1" w:lastColumn="0" w:noHBand="0" w:noVBand="1"/>
      </w:tblPr>
      <w:tblGrid>
        <w:gridCol w:w="3460"/>
        <w:gridCol w:w="1370"/>
        <w:gridCol w:w="1370"/>
        <w:gridCol w:w="1720"/>
        <w:gridCol w:w="1620"/>
      </w:tblGrid>
      <w:tr w:rsidR="00A22D8B" w:rsidRPr="00DE6950" w14:paraId="49D8A4EA" w14:textId="77777777" w:rsidTr="00FF38A3">
        <w:trPr>
          <w:trHeight w:val="330"/>
        </w:trPr>
        <w:tc>
          <w:tcPr>
            <w:tcW w:w="3460" w:type="dxa"/>
            <w:tcBorders>
              <w:top w:val="nil"/>
              <w:left w:val="nil"/>
              <w:bottom w:val="nil"/>
              <w:right w:val="nil"/>
            </w:tcBorders>
            <w:shd w:val="clear" w:color="auto" w:fill="auto"/>
            <w:noWrap/>
            <w:vAlign w:val="bottom"/>
            <w:hideMark/>
          </w:tcPr>
          <w:p w14:paraId="2F719361" w14:textId="77777777" w:rsidR="00A22D8B" w:rsidRPr="00DE6950" w:rsidRDefault="00A22D8B" w:rsidP="00B33BD5">
            <w:pPr>
              <w:spacing w:after="0"/>
              <w:jc w:val="center"/>
              <w:rPr>
                <w:lang w:val="en-US"/>
              </w:rPr>
            </w:pPr>
          </w:p>
        </w:tc>
        <w:tc>
          <w:tcPr>
            <w:tcW w:w="6080" w:type="dxa"/>
            <w:gridSpan w:val="4"/>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332FBFAA" w14:textId="77777777" w:rsidR="00A22D8B" w:rsidRPr="00DE6950" w:rsidRDefault="00A22D8B" w:rsidP="00B33BD5">
            <w:pPr>
              <w:spacing w:after="0"/>
              <w:jc w:val="center"/>
              <w:rPr>
                <w:b/>
                <w:bCs/>
                <w:color w:val="000000"/>
                <w:lang w:val="en-US"/>
              </w:rPr>
            </w:pPr>
            <w:r w:rsidRPr="00DE6950">
              <w:rPr>
                <w:b/>
                <w:bCs/>
                <w:color w:val="000000"/>
                <w:lang w:val="en-US"/>
              </w:rPr>
              <w:t>5%-tile SINR loss compared to 25.2 dBm EIRP [dB]</w:t>
            </w:r>
          </w:p>
        </w:tc>
      </w:tr>
      <w:tr w:rsidR="00A22D8B" w:rsidRPr="00DE6950" w14:paraId="48B508E2" w14:textId="77777777" w:rsidTr="00FF38A3">
        <w:trPr>
          <w:trHeight w:val="330"/>
        </w:trPr>
        <w:tc>
          <w:tcPr>
            <w:tcW w:w="3460" w:type="dxa"/>
            <w:tcBorders>
              <w:top w:val="single" w:sz="8" w:space="0" w:color="auto"/>
              <w:left w:val="single" w:sz="8" w:space="0" w:color="auto"/>
              <w:bottom w:val="single" w:sz="8" w:space="0" w:color="auto"/>
              <w:right w:val="nil"/>
            </w:tcBorders>
            <w:shd w:val="clear" w:color="auto" w:fill="auto"/>
            <w:noWrap/>
            <w:vAlign w:val="bottom"/>
            <w:hideMark/>
          </w:tcPr>
          <w:p w14:paraId="173B7BC7" w14:textId="77777777" w:rsidR="00A22D8B" w:rsidRPr="00DE6950" w:rsidRDefault="00A22D8B" w:rsidP="00B33BD5">
            <w:pPr>
              <w:spacing w:after="0"/>
              <w:jc w:val="center"/>
              <w:rPr>
                <w:b/>
                <w:bCs/>
                <w:color w:val="000000"/>
                <w:lang w:val="en-US"/>
              </w:rPr>
            </w:pPr>
            <w:r w:rsidRPr="00DE6950">
              <w:rPr>
                <w:b/>
                <w:bCs/>
                <w:color w:val="000000"/>
                <w:lang w:val="en-US"/>
              </w:rPr>
              <w:t>Max EIRP [dBm] - % indoor UE</w:t>
            </w:r>
          </w:p>
        </w:tc>
        <w:tc>
          <w:tcPr>
            <w:tcW w:w="1370" w:type="dxa"/>
            <w:tcBorders>
              <w:top w:val="nil"/>
              <w:left w:val="single" w:sz="8" w:space="0" w:color="auto"/>
              <w:bottom w:val="single" w:sz="8" w:space="0" w:color="auto"/>
              <w:right w:val="single" w:sz="4" w:space="0" w:color="auto"/>
            </w:tcBorders>
            <w:shd w:val="clear" w:color="auto" w:fill="auto"/>
            <w:noWrap/>
            <w:vAlign w:val="bottom"/>
            <w:hideMark/>
          </w:tcPr>
          <w:p w14:paraId="600841CE" w14:textId="77777777" w:rsidR="00A22D8B" w:rsidRPr="00DE6950" w:rsidRDefault="00A22D8B" w:rsidP="00B33BD5">
            <w:pPr>
              <w:spacing w:after="0"/>
              <w:jc w:val="center"/>
              <w:rPr>
                <w:b/>
                <w:bCs/>
                <w:color w:val="000000"/>
                <w:lang w:val="en-US"/>
              </w:rPr>
            </w:pPr>
            <w:r w:rsidRPr="00DE6950">
              <w:rPr>
                <w:b/>
                <w:bCs/>
                <w:color w:val="000000"/>
                <w:lang w:val="en-US"/>
              </w:rPr>
              <w:t>ISD = 100m</w:t>
            </w:r>
          </w:p>
        </w:tc>
        <w:tc>
          <w:tcPr>
            <w:tcW w:w="1370" w:type="dxa"/>
            <w:tcBorders>
              <w:top w:val="nil"/>
              <w:left w:val="nil"/>
              <w:bottom w:val="single" w:sz="8" w:space="0" w:color="auto"/>
              <w:right w:val="single" w:sz="4" w:space="0" w:color="auto"/>
            </w:tcBorders>
            <w:shd w:val="clear" w:color="auto" w:fill="auto"/>
            <w:noWrap/>
            <w:vAlign w:val="bottom"/>
            <w:hideMark/>
          </w:tcPr>
          <w:p w14:paraId="37D164BD" w14:textId="77777777" w:rsidR="00A22D8B" w:rsidRPr="00DE6950" w:rsidRDefault="00A22D8B" w:rsidP="00B33BD5">
            <w:pPr>
              <w:spacing w:after="0"/>
              <w:jc w:val="center"/>
              <w:rPr>
                <w:b/>
                <w:bCs/>
                <w:color w:val="000000"/>
                <w:lang w:val="en-US"/>
              </w:rPr>
            </w:pPr>
            <w:r w:rsidRPr="00DE6950">
              <w:rPr>
                <w:b/>
                <w:bCs/>
                <w:color w:val="000000"/>
                <w:lang w:val="en-US"/>
              </w:rPr>
              <w:t>ISD = 200m</w:t>
            </w:r>
          </w:p>
        </w:tc>
        <w:tc>
          <w:tcPr>
            <w:tcW w:w="1720" w:type="dxa"/>
            <w:tcBorders>
              <w:top w:val="nil"/>
              <w:left w:val="nil"/>
              <w:bottom w:val="single" w:sz="8" w:space="0" w:color="auto"/>
              <w:right w:val="single" w:sz="4" w:space="0" w:color="auto"/>
            </w:tcBorders>
            <w:shd w:val="clear" w:color="auto" w:fill="auto"/>
            <w:noWrap/>
            <w:vAlign w:val="bottom"/>
            <w:hideMark/>
          </w:tcPr>
          <w:p w14:paraId="77126586" w14:textId="77777777" w:rsidR="00A22D8B" w:rsidRPr="00DE6950" w:rsidRDefault="00A22D8B" w:rsidP="00B33BD5">
            <w:pPr>
              <w:spacing w:after="0"/>
              <w:jc w:val="center"/>
              <w:rPr>
                <w:b/>
                <w:bCs/>
                <w:color w:val="000000"/>
                <w:lang w:val="en-US"/>
              </w:rPr>
            </w:pPr>
            <w:r w:rsidRPr="00DE6950">
              <w:rPr>
                <w:b/>
                <w:bCs/>
                <w:color w:val="000000"/>
                <w:lang w:val="en-US"/>
              </w:rPr>
              <w:t>ISD = 300m</w:t>
            </w:r>
          </w:p>
        </w:tc>
        <w:tc>
          <w:tcPr>
            <w:tcW w:w="1620" w:type="dxa"/>
            <w:tcBorders>
              <w:top w:val="nil"/>
              <w:left w:val="nil"/>
              <w:bottom w:val="single" w:sz="8" w:space="0" w:color="auto"/>
              <w:right w:val="single" w:sz="8" w:space="0" w:color="auto"/>
            </w:tcBorders>
            <w:shd w:val="clear" w:color="auto" w:fill="auto"/>
            <w:noWrap/>
            <w:vAlign w:val="bottom"/>
            <w:hideMark/>
          </w:tcPr>
          <w:p w14:paraId="17CDAEBB" w14:textId="57DF6B38" w:rsidR="00A22D8B" w:rsidRPr="00DE6950" w:rsidRDefault="00A22D8B" w:rsidP="00B33BD5">
            <w:pPr>
              <w:spacing w:after="0"/>
              <w:jc w:val="center"/>
              <w:rPr>
                <w:b/>
                <w:bCs/>
                <w:color w:val="000000"/>
                <w:lang w:val="en-US"/>
              </w:rPr>
            </w:pPr>
            <w:r w:rsidRPr="00DE6950">
              <w:rPr>
                <w:b/>
                <w:bCs/>
                <w:color w:val="000000"/>
                <w:lang w:val="en-US"/>
              </w:rPr>
              <w:t>ISD =</w:t>
            </w:r>
            <w:r w:rsidR="00FB7EB6" w:rsidRPr="00DE6950">
              <w:rPr>
                <w:b/>
                <w:bCs/>
                <w:color w:val="000000"/>
                <w:lang w:val="en-US"/>
              </w:rPr>
              <w:t xml:space="preserve"> </w:t>
            </w:r>
            <w:r w:rsidRPr="00DE6950">
              <w:rPr>
                <w:b/>
                <w:bCs/>
                <w:color w:val="000000"/>
                <w:lang w:val="en-US"/>
              </w:rPr>
              <w:t>400m</w:t>
            </w:r>
          </w:p>
        </w:tc>
      </w:tr>
      <w:tr w:rsidR="00A22D8B" w:rsidRPr="00DE6950" w14:paraId="4D1FEE04" w14:textId="77777777" w:rsidTr="00FF38A3">
        <w:trPr>
          <w:trHeight w:val="330"/>
        </w:trPr>
        <w:tc>
          <w:tcPr>
            <w:tcW w:w="3460" w:type="dxa"/>
            <w:tcBorders>
              <w:top w:val="nil"/>
              <w:left w:val="single" w:sz="8" w:space="0" w:color="auto"/>
              <w:bottom w:val="single" w:sz="8" w:space="0" w:color="auto"/>
              <w:right w:val="nil"/>
            </w:tcBorders>
            <w:shd w:val="clear" w:color="auto" w:fill="auto"/>
            <w:noWrap/>
            <w:vAlign w:val="bottom"/>
            <w:hideMark/>
          </w:tcPr>
          <w:p w14:paraId="6422B4D8" w14:textId="77777777" w:rsidR="00A22D8B" w:rsidRPr="00DE6950" w:rsidRDefault="00A22D8B" w:rsidP="00B33BD5">
            <w:pPr>
              <w:spacing w:after="0"/>
              <w:jc w:val="center"/>
              <w:rPr>
                <w:b/>
                <w:bCs/>
                <w:color w:val="000000"/>
                <w:lang w:val="en-US"/>
              </w:rPr>
            </w:pPr>
            <w:r w:rsidRPr="00DE6950">
              <w:rPr>
                <w:b/>
                <w:bCs/>
                <w:color w:val="000000"/>
                <w:lang w:val="en-US"/>
              </w:rPr>
              <w:t>21.2 dBm - 0%</w:t>
            </w:r>
          </w:p>
        </w:tc>
        <w:tc>
          <w:tcPr>
            <w:tcW w:w="1370" w:type="dxa"/>
            <w:tcBorders>
              <w:top w:val="nil"/>
              <w:left w:val="single" w:sz="8" w:space="0" w:color="auto"/>
              <w:bottom w:val="single" w:sz="8" w:space="0" w:color="auto"/>
              <w:right w:val="single" w:sz="4" w:space="0" w:color="auto"/>
            </w:tcBorders>
            <w:shd w:val="clear" w:color="auto" w:fill="auto"/>
            <w:noWrap/>
            <w:vAlign w:val="bottom"/>
            <w:hideMark/>
          </w:tcPr>
          <w:p w14:paraId="2280AE25" w14:textId="77777777" w:rsidR="00A22D8B" w:rsidRPr="00DE6950" w:rsidRDefault="00A22D8B" w:rsidP="00B33BD5">
            <w:pPr>
              <w:spacing w:after="0"/>
              <w:jc w:val="center"/>
              <w:rPr>
                <w:color w:val="000000"/>
                <w:lang w:val="en-US"/>
              </w:rPr>
            </w:pPr>
            <w:r w:rsidRPr="00DE6950">
              <w:rPr>
                <w:color w:val="000000"/>
                <w:lang w:val="en-US"/>
              </w:rPr>
              <w:t>0.10</w:t>
            </w:r>
          </w:p>
        </w:tc>
        <w:tc>
          <w:tcPr>
            <w:tcW w:w="1370" w:type="dxa"/>
            <w:tcBorders>
              <w:top w:val="nil"/>
              <w:left w:val="single" w:sz="8" w:space="0" w:color="auto"/>
              <w:bottom w:val="single" w:sz="8" w:space="0" w:color="auto"/>
              <w:right w:val="single" w:sz="4" w:space="0" w:color="auto"/>
            </w:tcBorders>
            <w:shd w:val="clear" w:color="auto" w:fill="auto"/>
            <w:noWrap/>
            <w:vAlign w:val="bottom"/>
            <w:hideMark/>
          </w:tcPr>
          <w:p w14:paraId="3DA57598" w14:textId="77777777" w:rsidR="00A22D8B" w:rsidRPr="00DE6950" w:rsidRDefault="00A22D8B" w:rsidP="00B33BD5">
            <w:pPr>
              <w:spacing w:after="0"/>
              <w:jc w:val="center"/>
              <w:rPr>
                <w:color w:val="000000"/>
                <w:lang w:val="en-US"/>
              </w:rPr>
            </w:pPr>
            <w:r w:rsidRPr="00DE6950">
              <w:rPr>
                <w:color w:val="000000"/>
                <w:lang w:val="en-US"/>
              </w:rPr>
              <w:t>3.19</w:t>
            </w:r>
          </w:p>
        </w:tc>
        <w:tc>
          <w:tcPr>
            <w:tcW w:w="1720" w:type="dxa"/>
            <w:tcBorders>
              <w:top w:val="nil"/>
              <w:left w:val="single" w:sz="8" w:space="0" w:color="auto"/>
              <w:bottom w:val="single" w:sz="8" w:space="0" w:color="auto"/>
              <w:right w:val="single" w:sz="4" w:space="0" w:color="auto"/>
            </w:tcBorders>
            <w:shd w:val="clear" w:color="auto" w:fill="auto"/>
            <w:noWrap/>
            <w:vAlign w:val="bottom"/>
            <w:hideMark/>
          </w:tcPr>
          <w:p w14:paraId="0F9D0BE2" w14:textId="77777777" w:rsidR="00A22D8B" w:rsidRPr="00DE6950" w:rsidRDefault="00A22D8B" w:rsidP="00B33BD5">
            <w:pPr>
              <w:spacing w:after="0"/>
              <w:jc w:val="center"/>
              <w:rPr>
                <w:color w:val="000000"/>
                <w:lang w:val="en-US"/>
              </w:rPr>
            </w:pPr>
            <w:r w:rsidRPr="00DE6950">
              <w:rPr>
                <w:color w:val="000000"/>
                <w:lang w:val="en-US"/>
              </w:rPr>
              <w:t>3.68</w:t>
            </w:r>
          </w:p>
        </w:tc>
        <w:tc>
          <w:tcPr>
            <w:tcW w:w="1620" w:type="dxa"/>
            <w:tcBorders>
              <w:top w:val="nil"/>
              <w:left w:val="single" w:sz="8" w:space="0" w:color="auto"/>
              <w:bottom w:val="single" w:sz="8" w:space="0" w:color="auto"/>
              <w:right w:val="single" w:sz="4" w:space="0" w:color="auto"/>
            </w:tcBorders>
            <w:shd w:val="clear" w:color="auto" w:fill="auto"/>
            <w:noWrap/>
            <w:vAlign w:val="bottom"/>
            <w:hideMark/>
          </w:tcPr>
          <w:p w14:paraId="16DD9168" w14:textId="77777777" w:rsidR="00A22D8B" w:rsidRPr="00DE6950" w:rsidRDefault="00A22D8B" w:rsidP="00B33BD5">
            <w:pPr>
              <w:spacing w:after="0"/>
              <w:jc w:val="center"/>
              <w:rPr>
                <w:color w:val="000000"/>
                <w:lang w:val="en-US"/>
              </w:rPr>
            </w:pPr>
            <w:r w:rsidRPr="00DE6950">
              <w:rPr>
                <w:color w:val="000000"/>
                <w:lang w:val="en-US"/>
              </w:rPr>
              <w:t>3.73</w:t>
            </w:r>
          </w:p>
        </w:tc>
      </w:tr>
      <w:tr w:rsidR="00A22D8B" w:rsidRPr="00DE6950" w14:paraId="516A0392" w14:textId="77777777" w:rsidTr="009C042B">
        <w:trPr>
          <w:trHeight w:val="330"/>
        </w:trPr>
        <w:tc>
          <w:tcPr>
            <w:tcW w:w="3460" w:type="dxa"/>
            <w:tcBorders>
              <w:top w:val="nil"/>
              <w:left w:val="single" w:sz="8" w:space="0" w:color="auto"/>
              <w:bottom w:val="single" w:sz="4" w:space="0" w:color="auto"/>
              <w:right w:val="nil"/>
            </w:tcBorders>
            <w:shd w:val="clear" w:color="auto" w:fill="auto"/>
            <w:noWrap/>
            <w:vAlign w:val="bottom"/>
            <w:hideMark/>
          </w:tcPr>
          <w:p w14:paraId="5CFAE1DF" w14:textId="6C678C5E" w:rsidR="00A22D8B" w:rsidRPr="00DE6950" w:rsidRDefault="00FC7DCB" w:rsidP="00B33BD5">
            <w:pPr>
              <w:spacing w:after="0"/>
              <w:jc w:val="center"/>
              <w:rPr>
                <w:b/>
                <w:bCs/>
                <w:color w:val="000000"/>
                <w:lang w:val="en-US"/>
              </w:rPr>
            </w:pPr>
            <w:r w:rsidRPr="00DE6950">
              <w:rPr>
                <w:b/>
                <w:bCs/>
                <w:color w:val="000000"/>
                <w:lang w:val="en-US"/>
              </w:rPr>
              <w:t>21.2 dBm - 20%</w:t>
            </w:r>
          </w:p>
        </w:tc>
        <w:tc>
          <w:tcPr>
            <w:tcW w:w="1370" w:type="dxa"/>
            <w:tcBorders>
              <w:top w:val="nil"/>
              <w:left w:val="single" w:sz="8" w:space="0" w:color="auto"/>
              <w:bottom w:val="single" w:sz="4" w:space="0" w:color="auto"/>
              <w:right w:val="single" w:sz="4" w:space="0" w:color="auto"/>
            </w:tcBorders>
            <w:shd w:val="clear" w:color="auto" w:fill="auto"/>
            <w:noWrap/>
            <w:vAlign w:val="bottom"/>
            <w:hideMark/>
          </w:tcPr>
          <w:p w14:paraId="1FB820B9" w14:textId="77777777" w:rsidR="00A22D8B" w:rsidRPr="00DE6950" w:rsidRDefault="00A22D8B" w:rsidP="00B33BD5">
            <w:pPr>
              <w:spacing w:after="0"/>
              <w:jc w:val="center"/>
              <w:rPr>
                <w:color w:val="000000"/>
                <w:lang w:val="en-US"/>
              </w:rPr>
            </w:pPr>
            <w:r w:rsidRPr="00DE6950">
              <w:rPr>
                <w:color w:val="000000"/>
                <w:lang w:val="en-US"/>
              </w:rPr>
              <w:t>3.97</w:t>
            </w:r>
          </w:p>
        </w:tc>
        <w:tc>
          <w:tcPr>
            <w:tcW w:w="1370" w:type="dxa"/>
            <w:tcBorders>
              <w:top w:val="nil"/>
              <w:left w:val="single" w:sz="8" w:space="0" w:color="auto"/>
              <w:bottom w:val="single" w:sz="4" w:space="0" w:color="auto"/>
              <w:right w:val="single" w:sz="4" w:space="0" w:color="auto"/>
            </w:tcBorders>
            <w:shd w:val="clear" w:color="auto" w:fill="auto"/>
            <w:noWrap/>
            <w:vAlign w:val="bottom"/>
            <w:hideMark/>
          </w:tcPr>
          <w:p w14:paraId="75CC2495" w14:textId="77777777" w:rsidR="00A22D8B" w:rsidRPr="00DE6950" w:rsidRDefault="00A22D8B" w:rsidP="00B33BD5">
            <w:pPr>
              <w:spacing w:after="0"/>
              <w:jc w:val="center"/>
              <w:rPr>
                <w:color w:val="000000"/>
                <w:lang w:val="en-US"/>
              </w:rPr>
            </w:pPr>
            <w:r w:rsidRPr="00DE6950">
              <w:rPr>
                <w:color w:val="000000"/>
                <w:lang w:val="en-US"/>
              </w:rPr>
              <w:t>3.79</w:t>
            </w:r>
          </w:p>
        </w:tc>
        <w:tc>
          <w:tcPr>
            <w:tcW w:w="1720" w:type="dxa"/>
            <w:tcBorders>
              <w:top w:val="nil"/>
              <w:left w:val="single" w:sz="8" w:space="0" w:color="auto"/>
              <w:bottom w:val="single" w:sz="4" w:space="0" w:color="auto"/>
              <w:right w:val="single" w:sz="4" w:space="0" w:color="auto"/>
            </w:tcBorders>
            <w:shd w:val="clear" w:color="auto" w:fill="auto"/>
            <w:noWrap/>
            <w:vAlign w:val="bottom"/>
            <w:hideMark/>
          </w:tcPr>
          <w:p w14:paraId="33A45DFE" w14:textId="77777777" w:rsidR="00A22D8B" w:rsidRPr="00DE6950" w:rsidRDefault="00A22D8B" w:rsidP="00B33BD5">
            <w:pPr>
              <w:spacing w:after="0"/>
              <w:jc w:val="center"/>
              <w:rPr>
                <w:color w:val="000000"/>
                <w:lang w:val="en-US"/>
              </w:rPr>
            </w:pPr>
            <w:r w:rsidRPr="00DE6950">
              <w:rPr>
                <w:color w:val="000000"/>
                <w:lang w:val="en-US"/>
              </w:rPr>
              <w:t>3.83</w:t>
            </w:r>
          </w:p>
        </w:tc>
        <w:tc>
          <w:tcPr>
            <w:tcW w:w="1620" w:type="dxa"/>
            <w:tcBorders>
              <w:top w:val="nil"/>
              <w:left w:val="single" w:sz="8" w:space="0" w:color="auto"/>
              <w:bottom w:val="single" w:sz="4" w:space="0" w:color="auto"/>
              <w:right w:val="single" w:sz="4" w:space="0" w:color="auto"/>
            </w:tcBorders>
            <w:shd w:val="clear" w:color="auto" w:fill="auto"/>
            <w:noWrap/>
            <w:vAlign w:val="bottom"/>
            <w:hideMark/>
          </w:tcPr>
          <w:p w14:paraId="43B6A879" w14:textId="77777777" w:rsidR="00A22D8B" w:rsidRPr="00DE6950" w:rsidRDefault="00A22D8B" w:rsidP="00B33BD5">
            <w:pPr>
              <w:spacing w:after="0"/>
              <w:jc w:val="center"/>
              <w:rPr>
                <w:color w:val="000000"/>
                <w:lang w:val="en-US"/>
              </w:rPr>
            </w:pPr>
            <w:r w:rsidRPr="00DE6950">
              <w:rPr>
                <w:color w:val="000000"/>
                <w:lang w:val="en-US"/>
              </w:rPr>
              <w:t>3.81</w:t>
            </w:r>
          </w:p>
        </w:tc>
      </w:tr>
      <w:tr w:rsidR="00FC7DCB" w:rsidRPr="00DE6950" w14:paraId="7FDCE8B4" w14:textId="77777777" w:rsidTr="009C042B">
        <w:trPr>
          <w:trHeight w:val="330"/>
        </w:trPr>
        <w:tc>
          <w:tcPr>
            <w:tcW w:w="3460" w:type="dxa"/>
            <w:tcBorders>
              <w:top w:val="single" w:sz="4" w:space="0" w:color="auto"/>
              <w:left w:val="single" w:sz="8" w:space="0" w:color="auto"/>
              <w:bottom w:val="single" w:sz="8" w:space="0" w:color="auto"/>
              <w:right w:val="nil"/>
            </w:tcBorders>
            <w:shd w:val="clear" w:color="auto" w:fill="auto"/>
            <w:noWrap/>
            <w:vAlign w:val="bottom"/>
          </w:tcPr>
          <w:p w14:paraId="5C7D3475" w14:textId="2472AD8B" w:rsidR="00FC7DCB" w:rsidRPr="00DE6950" w:rsidRDefault="00FC7DCB" w:rsidP="00B33BD5">
            <w:pPr>
              <w:spacing w:after="0"/>
              <w:jc w:val="center"/>
              <w:rPr>
                <w:b/>
                <w:bCs/>
                <w:color w:val="000000"/>
                <w:lang w:val="en-US"/>
              </w:rPr>
            </w:pPr>
            <w:r w:rsidRPr="00DE6950">
              <w:rPr>
                <w:b/>
                <w:bCs/>
                <w:color w:val="000000"/>
                <w:lang w:val="en-US"/>
              </w:rPr>
              <w:t>21.2 dBm - 80%</w:t>
            </w:r>
          </w:p>
        </w:tc>
        <w:tc>
          <w:tcPr>
            <w:tcW w:w="1370" w:type="dxa"/>
            <w:tcBorders>
              <w:top w:val="single" w:sz="4" w:space="0" w:color="auto"/>
              <w:left w:val="single" w:sz="8" w:space="0" w:color="auto"/>
              <w:bottom w:val="single" w:sz="8" w:space="0" w:color="auto"/>
              <w:right w:val="single" w:sz="4" w:space="0" w:color="auto"/>
            </w:tcBorders>
            <w:shd w:val="clear" w:color="auto" w:fill="auto"/>
            <w:noWrap/>
            <w:vAlign w:val="bottom"/>
          </w:tcPr>
          <w:p w14:paraId="4A525BB2" w14:textId="3664046F" w:rsidR="00FC7DCB" w:rsidRPr="00DE6950" w:rsidRDefault="00FC7DCB" w:rsidP="00B33BD5">
            <w:pPr>
              <w:spacing w:after="0"/>
              <w:jc w:val="center"/>
              <w:rPr>
                <w:color w:val="000000"/>
                <w:lang w:val="en-US"/>
              </w:rPr>
            </w:pPr>
            <w:r w:rsidRPr="00DE6950">
              <w:rPr>
                <w:color w:val="000000"/>
                <w:lang w:val="en-US"/>
              </w:rPr>
              <w:t>3.85</w:t>
            </w:r>
          </w:p>
        </w:tc>
        <w:tc>
          <w:tcPr>
            <w:tcW w:w="1370" w:type="dxa"/>
            <w:tcBorders>
              <w:top w:val="single" w:sz="4" w:space="0" w:color="auto"/>
              <w:left w:val="single" w:sz="8" w:space="0" w:color="auto"/>
              <w:bottom w:val="single" w:sz="8" w:space="0" w:color="auto"/>
              <w:right w:val="single" w:sz="4" w:space="0" w:color="auto"/>
            </w:tcBorders>
            <w:shd w:val="clear" w:color="auto" w:fill="auto"/>
            <w:noWrap/>
            <w:vAlign w:val="bottom"/>
          </w:tcPr>
          <w:p w14:paraId="5494AAC8" w14:textId="360AD4BE" w:rsidR="00FC7DCB" w:rsidRPr="00DE6950" w:rsidRDefault="00FC7DCB" w:rsidP="00B33BD5">
            <w:pPr>
              <w:spacing w:after="0"/>
              <w:jc w:val="center"/>
              <w:rPr>
                <w:color w:val="000000"/>
                <w:lang w:val="en-US"/>
              </w:rPr>
            </w:pPr>
            <w:r w:rsidRPr="00DE6950">
              <w:rPr>
                <w:color w:val="000000"/>
                <w:lang w:val="en-US"/>
              </w:rPr>
              <w:t>3.86</w:t>
            </w:r>
          </w:p>
        </w:tc>
        <w:tc>
          <w:tcPr>
            <w:tcW w:w="1720" w:type="dxa"/>
            <w:tcBorders>
              <w:top w:val="single" w:sz="4" w:space="0" w:color="auto"/>
              <w:left w:val="single" w:sz="8" w:space="0" w:color="auto"/>
              <w:bottom w:val="single" w:sz="8" w:space="0" w:color="auto"/>
              <w:right w:val="single" w:sz="4" w:space="0" w:color="auto"/>
            </w:tcBorders>
            <w:shd w:val="clear" w:color="auto" w:fill="auto"/>
            <w:noWrap/>
            <w:vAlign w:val="bottom"/>
          </w:tcPr>
          <w:p w14:paraId="6668A2CE" w14:textId="58903C43" w:rsidR="00FC7DCB" w:rsidRPr="00DE6950" w:rsidRDefault="00FC7DCB" w:rsidP="00B33BD5">
            <w:pPr>
              <w:spacing w:after="0"/>
              <w:jc w:val="center"/>
              <w:rPr>
                <w:color w:val="000000"/>
                <w:lang w:val="en-US"/>
              </w:rPr>
            </w:pPr>
            <w:r w:rsidRPr="00DE6950">
              <w:rPr>
                <w:color w:val="000000"/>
                <w:lang w:val="en-US"/>
              </w:rPr>
              <w:t>3.90</w:t>
            </w:r>
          </w:p>
        </w:tc>
        <w:tc>
          <w:tcPr>
            <w:tcW w:w="1620" w:type="dxa"/>
            <w:tcBorders>
              <w:top w:val="single" w:sz="4" w:space="0" w:color="auto"/>
              <w:left w:val="single" w:sz="8" w:space="0" w:color="auto"/>
              <w:bottom w:val="single" w:sz="8" w:space="0" w:color="auto"/>
              <w:right w:val="single" w:sz="4" w:space="0" w:color="auto"/>
            </w:tcBorders>
            <w:shd w:val="clear" w:color="auto" w:fill="auto"/>
            <w:noWrap/>
            <w:vAlign w:val="bottom"/>
          </w:tcPr>
          <w:p w14:paraId="573AA51B" w14:textId="3064BBDE" w:rsidR="00FC7DCB" w:rsidRPr="00DE6950" w:rsidRDefault="00FC7DCB" w:rsidP="00B33BD5">
            <w:pPr>
              <w:spacing w:after="0"/>
              <w:jc w:val="center"/>
              <w:rPr>
                <w:color w:val="000000"/>
                <w:lang w:val="en-US"/>
              </w:rPr>
            </w:pPr>
            <w:r w:rsidRPr="00DE6950">
              <w:rPr>
                <w:color w:val="000000"/>
                <w:lang w:val="en-US"/>
              </w:rPr>
              <w:t>3.95</w:t>
            </w:r>
          </w:p>
        </w:tc>
      </w:tr>
    </w:tbl>
    <w:p w14:paraId="47F4BF69" w14:textId="01940D5A" w:rsidR="00A22D8B" w:rsidRPr="00DE6950" w:rsidRDefault="00A22D8B" w:rsidP="00B33BD5">
      <w:pPr>
        <w:pStyle w:val="Caption"/>
        <w:keepNext/>
        <w:jc w:val="center"/>
      </w:pPr>
      <w:r w:rsidRPr="00DE6950">
        <w:lastRenderedPageBreak/>
        <w:t xml:space="preserve">Table </w:t>
      </w:r>
      <w:r w:rsidRPr="00DE6950">
        <w:fldChar w:fldCharType="begin"/>
      </w:r>
      <w:r w:rsidRPr="00DE6950">
        <w:instrText xml:space="preserve"> SEQ Table \* ARABIC </w:instrText>
      </w:r>
      <w:r w:rsidRPr="00DE6950">
        <w:fldChar w:fldCharType="separate"/>
      </w:r>
      <w:r w:rsidR="002A1E25" w:rsidRPr="00DE6950">
        <w:rPr>
          <w:noProof/>
        </w:rPr>
        <w:t>5</w:t>
      </w:r>
      <w:r w:rsidRPr="00DE6950">
        <w:fldChar w:fldCharType="end"/>
      </w:r>
      <w:r w:rsidRPr="00DE6950">
        <w:t>. 5%-tile throughput loss compared to 25.2 dBm UE peak EIRP</w:t>
      </w:r>
    </w:p>
    <w:tbl>
      <w:tblPr>
        <w:tblW w:w="9204" w:type="dxa"/>
        <w:jc w:val="center"/>
        <w:tblLook w:val="04A0" w:firstRow="1" w:lastRow="0" w:firstColumn="1" w:lastColumn="0" w:noHBand="0" w:noVBand="1"/>
      </w:tblPr>
      <w:tblGrid>
        <w:gridCol w:w="3512"/>
        <w:gridCol w:w="1423"/>
        <w:gridCol w:w="1423"/>
        <w:gridCol w:w="1423"/>
        <w:gridCol w:w="1423"/>
      </w:tblGrid>
      <w:tr w:rsidR="00A22D8B" w:rsidRPr="00DE6950" w14:paraId="50B3EE13" w14:textId="77777777" w:rsidTr="00B33BD5">
        <w:trPr>
          <w:trHeight w:val="355"/>
          <w:jc w:val="center"/>
        </w:trPr>
        <w:tc>
          <w:tcPr>
            <w:tcW w:w="0" w:type="auto"/>
            <w:tcBorders>
              <w:top w:val="nil"/>
              <w:left w:val="nil"/>
              <w:bottom w:val="single" w:sz="8" w:space="0" w:color="auto"/>
              <w:right w:val="nil"/>
            </w:tcBorders>
            <w:shd w:val="clear" w:color="auto" w:fill="auto"/>
            <w:noWrap/>
            <w:vAlign w:val="bottom"/>
            <w:hideMark/>
          </w:tcPr>
          <w:p w14:paraId="31EB7907" w14:textId="279F6C2D" w:rsidR="00A22D8B" w:rsidRPr="00DE6950" w:rsidRDefault="00A22D8B" w:rsidP="00B33BD5">
            <w:pPr>
              <w:spacing w:after="0"/>
              <w:jc w:val="center"/>
              <w:rPr>
                <w:b/>
                <w:bCs/>
                <w:color w:val="000000"/>
                <w:lang w:val="en-US"/>
              </w:rPr>
            </w:pPr>
          </w:p>
        </w:tc>
        <w:tc>
          <w:tcPr>
            <w:tcW w:w="0" w:type="auto"/>
            <w:gridSpan w:val="4"/>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318EDCA8" w14:textId="77777777" w:rsidR="00A22D8B" w:rsidRPr="00DE6950" w:rsidRDefault="00A22D8B" w:rsidP="00B33BD5">
            <w:pPr>
              <w:spacing w:after="0"/>
              <w:jc w:val="center"/>
              <w:rPr>
                <w:b/>
                <w:bCs/>
                <w:color w:val="000000"/>
                <w:lang w:val="en-US"/>
              </w:rPr>
            </w:pPr>
            <w:r w:rsidRPr="00DE6950">
              <w:rPr>
                <w:b/>
                <w:bCs/>
                <w:color w:val="000000"/>
                <w:lang w:val="en-US"/>
              </w:rPr>
              <w:t>5%-tile throughput loss compared to 25.2 dBm EIRP</w:t>
            </w:r>
          </w:p>
        </w:tc>
      </w:tr>
      <w:tr w:rsidR="00A22D8B" w:rsidRPr="00DE6950" w14:paraId="5F65E649" w14:textId="77777777" w:rsidTr="00B33BD5">
        <w:trPr>
          <w:trHeight w:val="355"/>
          <w:jc w:val="center"/>
        </w:trPr>
        <w:tc>
          <w:tcPr>
            <w:tcW w:w="0" w:type="auto"/>
            <w:tcBorders>
              <w:top w:val="nil"/>
              <w:left w:val="single" w:sz="8" w:space="0" w:color="auto"/>
              <w:bottom w:val="single" w:sz="8" w:space="0" w:color="auto"/>
              <w:right w:val="nil"/>
            </w:tcBorders>
            <w:shd w:val="clear" w:color="auto" w:fill="auto"/>
            <w:noWrap/>
            <w:vAlign w:val="bottom"/>
            <w:hideMark/>
          </w:tcPr>
          <w:p w14:paraId="21C12EF6" w14:textId="77777777" w:rsidR="00A22D8B" w:rsidRPr="00DE6950" w:rsidRDefault="00A22D8B" w:rsidP="00B33BD5">
            <w:pPr>
              <w:spacing w:after="0"/>
              <w:jc w:val="center"/>
              <w:rPr>
                <w:b/>
                <w:bCs/>
                <w:color w:val="000000"/>
                <w:lang w:val="en-US"/>
              </w:rPr>
            </w:pPr>
            <w:r w:rsidRPr="00DE6950">
              <w:rPr>
                <w:b/>
                <w:bCs/>
                <w:color w:val="000000"/>
                <w:lang w:val="en-US"/>
              </w:rPr>
              <w:t>Max EIRP [dBm] - % indoor UE</w:t>
            </w:r>
          </w:p>
        </w:tc>
        <w:tc>
          <w:tcPr>
            <w:tcW w:w="0" w:type="auto"/>
            <w:tcBorders>
              <w:top w:val="nil"/>
              <w:left w:val="single" w:sz="8" w:space="0" w:color="auto"/>
              <w:bottom w:val="single" w:sz="8" w:space="0" w:color="auto"/>
              <w:right w:val="single" w:sz="4" w:space="0" w:color="auto"/>
            </w:tcBorders>
            <w:shd w:val="clear" w:color="auto" w:fill="auto"/>
            <w:noWrap/>
            <w:vAlign w:val="bottom"/>
            <w:hideMark/>
          </w:tcPr>
          <w:p w14:paraId="0B3367F7" w14:textId="77777777" w:rsidR="00A22D8B" w:rsidRPr="00DE6950" w:rsidRDefault="00A22D8B" w:rsidP="00B33BD5">
            <w:pPr>
              <w:spacing w:after="0"/>
              <w:jc w:val="center"/>
              <w:rPr>
                <w:b/>
                <w:bCs/>
                <w:color w:val="000000"/>
                <w:lang w:val="en-US"/>
              </w:rPr>
            </w:pPr>
            <w:r w:rsidRPr="00DE6950">
              <w:rPr>
                <w:b/>
                <w:bCs/>
                <w:color w:val="000000"/>
                <w:lang w:val="en-US"/>
              </w:rPr>
              <w:t>ISD = 100m</w:t>
            </w:r>
          </w:p>
        </w:tc>
        <w:tc>
          <w:tcPr>
            <w:tcW w:w="0" w:type="auto"/>
            <w:tcBorders>
              <w:top w:val="nil"/>
              <w:left w:val="nil"/>
              <w:bottom w:val="single" w:sz="8" w:space="0" w:color="auto"/>
              <w:right w:val="single" w:sz="4" w:space="0" w:color="auto"/>
            </w:tcBorders>
            <w:shd w:val="clear" w:color="auto" w:fill="auto"/>
            <w:noWrap/>
            <w:vAlign w:val="bottom"/>
            <w:hideMark/>
          </w:tcPr>
          <w:p w14:paraId="4E2824FA" w14:textId="77777777" w:rsidR="00A22D8B" w:rsidRPr="00DE6950" w:rsidRDefault="00A22D8B" w:rsidP="00B33BD5">
            <w:pPr>
              <w:spacing w:after="0"/>
              <w:jc w:val="center"/>
              <w:rPr>
                <w:b/>
                <w:bCs/>
                <w:color w:val="000000"/>
                <w:lang w:val="en-US"/>
              </w:rPr>
            </w:pPr>
            <w:r w:rsidRPr="00DE6950">
              <w:rPr>
                <w:b/>
                <w:bCs/>
                <w:color w:val="000000"/>
                <w:lang w:val="en-US"/>
              </w:rPr>
              <w:t>ISD = 200m</w:t>
            </w:r>
          </w:p>
        </w:tc>
        <w:tc>
          <w:tcPr>
            <w:tcW w:w="0" w:type="auto"/>
            <w:tcBorders>
              <w:top w:val="nil"/>
              <w:left w:val="nil"/>
              <w:bottom w:val="single" w:sz="8" w:space="0" w:color="auto"/>
              <w:right w:val="single" w:sz="4" w:space="0" w:color="auto"/>
            </w:tcBorders>
            <w:shd w:val="clear" w:color="auto" w:fill="auto"/>
            <w:noWrap/>
            <w:vAlign w:val="bottom"/>
            <w:hideMark/>
          </w:tcPr>
          <w:p w14:paraId="751F7823" w14:textId="77777777" w:rsidR="00A22D8B" w:rsidRPr="00DE6950" w:rsidRDefault="00A22D8B" w:rsidP="00B33BD5">
            <w:pPr>
              <w:spacing w:after="0"/>
              <w:jc w:val="center"/>
              <w:rPr>
                <w:b/>
                <w:bCs/>
                <w:color w:val="000000"/>
                <w:lang w:val="en-US"/>
              </w:rPr>
            </w:pPr>
            <w:r w:rsidRPr="00DE6950">
              <w:rPr>
                <w:b/>
                <w:bCs/>
                <w:color w:val="000000"/>
                <w:lang w:val="en-US"/>
              </w:rPr>
              <w:t>ISD = 300m</w:t>
            </w:r>
          </w:p>
        </w:tc>
        <w:tc>
          <w:tcPr>
            <w:tcW w:w="0" w:type="auto"/>
            <w:tcBorders>
              <w:top w:val="nil"/>
              <w:left w:val="nil"/>
              <w:bottom w:val="single" w:sz="8" w:space="0" w:color="auto"/>
              <w:right w:val="single" w:sz="8" w:space="0" w:color="auto"/>
            </w:tcBorders>
            <w:shd w:val="clear" w:color="auto" w:fill="auto"/>
            <w:noWrap/>
            <w:vAlign w:val="bottom"/>
            <w:hideMark/>
          </w:tcPr>
          <w:p w14:paraId="5350D771" w14:textId="77777777" w:rsidR="00A22D8B" w:rsidRPr="00DE6950" w:rsidRDefault="00A22D8B" w:rsidP="00B33BD5">
            <w:pPr>
              <w:spacing w:after="0"/>
              <w:jc w:val="center"/>
              <w:rPr>
                <w:b/>
                <w:bCs/>
                <w:color w:val="000000"/>
                <w:lang w:val="en-US"/>
              </w:rPr>
            </w:pPr>
            <w:r w:rsidRPr="00DE6950">
              <w:rPr>
                <w:b/>
                <w:bCs/>
                <w:color w:val="000000"/>
                <w:lang w:val="en-US"/>
              </w:rPr>
              <w:t>ISD = 400m</w:t>
            </w:r>
          </w:p>
        </w:tc>
      </w:tr>
      <w:tr w:rsidR="00A22D8B" w:rsidRPr="00DE6950" w14:paraId="3DFB8E74" w14:textId="77777777" w:rsidTr="00B33BD5">
        <w:trPr>
          <w:trHeight w:val="355"/>
          <w:jc w:val="center"/>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63406F5C" w14:textId="77777777" w:rsidR="00A22D8B" w:rsidRPr="00DE6950" w:rsidRDefault="00A22D8B" w:rsidP="00B33BD5">
            <w:pPr>
              <w:spacing w:after="0"/>
              <w:jc w:val="center"/>
              <w:rPr>
                <w:b/>
                <w:bCs/>
                <w:color w:val="000000"/>
                <w:lang w:val="en-US"/>
              </w:rPr>
            </w:pPr>
            <w:r w:rsidRPr="00DE6950">
              <w:rPr>
                <w:b/>
                <w:bCs/>
                <w:color w:val="000000"/>
                <w:lang w:val="en-US"/>
              </w:rPr>
              <w:t>21.2 dBm - 0%</w:t>
            </w:r>
          </w:p>
        </w:tc>
        <w:tc>
          <w:tcPr>
            <w:tcW w:w="0" w:type="auto"/>
            <w:tcBorders>
              <w:top w:val="nil"/>
              <w:left w:val="nil"/>
              <w:bottom w:val="single" w:sz="8" w:space="0" w:color="auto"/>
              <w:right w:val="single" w:sz="4" w:space="0" w:color="auto"/>
            </w:tcBorders>
            <w:shd w:val="clear" w:color="auto" w:fill="auto"/>
            <w:noWrap/>
            <w:vAlign w:val="bottom"/>
            <w:hideMark/>
          </w:tcPr>
          <w:p w14:paraId="39FD0B64" w14:textId="77777777" w:rsidR="00A22D8B" w:rsidRPr="00DE6950" w:rsidRDefault="00A22D8B" w:rsidP="00B33BD5">
            <w:pPr>
              <w:spacing w:after="0"/>
              <w:jc w:val="center"/>
              <w:rPr>
                <w:color w:val="000000"/>
                <w:lang w:val="en-US"/>
              </w:rPr>
            </w:pPr>
            <w:r w:rsidRPr="00DE6950">
              <w:rPr>
                <w:color w:val="000000"/>
                <w:lang w:val="en-US"/>
              </w:rPr>
              <w:t>1%</w:t>
            </w:r>
          </w:p>
        </w:tc>
        <w:tc>
          <w:tcPr>
            <w:tcW w:w="0" w:type="auto"/>
            <w:tcBorders>
              <w:top w:val="nil"/>
              <w:left w:val="single" w:sz="8" w:space="0" w:color="auto"/>
              <w:bottom w:val="single" w:sz="8" w:space="0" w:color="auto"/>
              <w:right w:val="single" w:sz="4" w:space="0" w:color="auto"/>
            </w:tcBorders>
            <w:shd w:val="clear" w:color="auto" w:fill="auto"/>
            <w:noWrap/>
            <w:vAlign w:val="bottom"/>
            <w:hideMark/>
          </w:tcPr>
          <w:p w14:paraId="3BAAD58B" w14:textId="77777777" w:rsidR="00A22D8B" w:rsidRPr="00DE6950" w:rsidRDefault="00A22D8B" w:rsidP="00B33BD5">
            <w:pPr>
              <w:spacing w:after="0"/>
              <w:jc w:val="center"/>
              <w:rPr>
                <w:color w:val="000000"/>
                <w:lang w:val="en-US"/>
              </w:rPr>
            </w:pPr>
            <w:r w:rsidRPr="00DE6950">
              <w:rPr>
                <w:color w:val="000000"/>
                <w:lang w:val="en-US"/>
              </w:rPr>
              <w:t>27%</w:t>
            </w:r>
          </w:p>
        </w:tc>
        <w:tc>
          <w:tcPr>
            <w:tcW w:w="0" w:type="auto"/>
            <w:tcBorders>
              <w:top w:val="nil"/>
              <w:left w:val="single" w:sz="8" w:space="0" w:color="auto"/>
              <w:bottom w:val="single" w:sz="8" w:space="0" w:color="auto"/>
              <w:right w:val="single" w:sz="4" w:space="0" w:color="auto"/>
            </w:tcBorders>
            <w:shd w:val="clear" w:color="auto" w:fill="auto"/>
            <w:noWrap/>
            <w:vAlign w:val="bottom"/>
            <w:hideMark/>
          </w:tcPr>
          <w:p w14:paraId="23CF03A6" w14:textId="77777777" w:rsidR="00A22D8B" w:rsidRPr="00DE6950" w:rsidRDefault="00A22D8B" w:rsidP="00B33BD5">
            <w:pPr>
              <w:spacing w:after="0"/>
              <w:jc w:val="center"/>
              <w:rPr>
                <w:color w:val="000000"/>
                <w:lang w:val="en-US"/>
              </w:rPr>
            </w:pPr>
            <w:r w:rsidRPr="00DE6950">
              <w:rPr>
                <w:color w:val="000000"/>
                <w:lang w:val="en-US"/>
              </w:rPr>
              <w:t>46%</w:t>
            </w:r>
          </w:p>
        </w:tc>
        <w:tc>
          <w:tcPr>
            <w:tcW w:w="0" w:type="auto"/>
            <w:tcBorders>
              <w:top w:val="nil"/>
              <w:left w:val="single" w:sz="8" w:space="0" w:color="auto"/>
              <w:bottom w:val="single" w:sz="8" w:space="0" w:color="auto"/>
              <w:right w:val="single" w:sz="4" w:space="0" w:color="auto"/>
            </w:tcBorders>
            <w:shd w:val="clear" w:color="auto" w:fill="auto"/>
            <w:noWrap/>
            <w:vAlign w:val="bottom"/>
            <w:hideMark/>
          </w:tcPr>
          <w:p w14:paraId="57CBBC16" w14:textId="77777777" w:rsidR="00A22D8B" w:rsidRPr="00DE6950" w:rsidRDefault="00A22D8B" w:rsidP="00B33BD5">
            <w:pPr>
              <w:spacing w:after="0"/>
              <w:jc w:val="center"/>
              <w:rPr>
                <w:color w:val="000000"/>
                <w:lang w:val="en-US"/>
              </w:rPr>
            </w:pPr>
            <w:r w:rsidRPr="00DE6950">
              <w:rPr>
                <w:color w:val="000000"/>
                <w:lang w:val="en-US"/>
              </w:rPr>
              <w:t>53%</w:t>
            </w:r>
          </w:p>
        </w:tc>
      </w:tr>
      <w:tr w:rsidR="00A22D8B" w:rsidRPr="00DE6950" w14:paraId="11CA4141" w14:textId="77777777" w:rsidTr="00B33BD5">
        <w:trPr>
          <w:trHeight w:val="355"/>
          <w:jc w:val="center"/>
        </w:trPr>
        <w:tc>
          <w:tcPr>
            <w:tcW w:w="0" w:type="auto"/>
            <w:tcBorders>
              <w:top w:val="nil"/>
              <w:left w:val="single" w:sz="8" w:space="0" w:color="auto"/>
              <w:bottom w:val="single" w:sz="4" w:space="0" w:color="auto"/>
              <w:right w:val="nil"/>
            </w:tcBorders>
            <w:shd w:val="clear" w:color="auto" w:fill="auto"/>
            <w:noWrap/>
            <w:vAlign w:val="bottom"/>
            <w:hideMark/>
          </w:tcPr>
          <w:p w14:paraId="7694D8A5" w14:textId="77777777" w:rsidR="00A22D8B" w:rsidRPr="00DE6950" w:rsidRDefault="00A22D8B" w:rsidP="00B33BD5">
            <w:pPr>
              <w:spacing w:after="0"/>
              <w:jc w:val="center"/>
              <w:rPr>
                <w:b/>
                <w:bCs/>
                <w:color w:val="000000"/>
                <w:lang w:val="en-US"/>
              </w:rPr>
            </w:pPr>
            <w:r w:rsidRPr="00DE6950">
              <w:rPr>
                <w:b/>
                <w:bCs/>
                <w:color w:val="000000"/>
                <w:lang w:val="en-US"/>
              </w:rPr>
              <w:t>21.2 dBm - 20%</w:t>
            </w:r>
          </w:p>
        </w:tc>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47483058" w14:textId="77777777" w:rsidR="00A22D8B" w:rsidRPr="00DE6950" w:rsidRDefault="00A22D8B" w:rsidP="00B33BD5">
            <w:pPr>
              <w:spacing w:after="0"/>
              <w:jc w:val="center"/>
              <w:rPr>
                <w:color w:val="000000"/>
                <w:lang w:val="en-US"/>
              </w:rPr>
            </w:pPr>
            <w:r w:rsidRPr="00DE6950">
              <w:rPr>
                <w:color w:val="000000"/>
                <w:lang w:val="en-US"/>
              </w:rPr>
              <w:t>54%</w:t>
            </w:r>
          </w:p>
        </w:tc>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37738A4B" w14:textId="42F216DF" w:rsidR="00A22D8B" w:rsidRPr="00DE6950" w:rsidRDefault="00A22D8B" w:rsidP="00B33BD5">
            <w:pPr>
              <w:spacing w:after="0"/>
              <w:jc w:val="center"/>
              <w:rPr>
                <w:color w:val="000000"/>
                <w:lang w:val="en-US"/>
              </w:rPr>
            </w:pPr>
            <w:r w:rsidRPr="00DE6950">
              <w:rPr>
                <w:color w:val="000000"/>
                <w:lang w:val="en-US"/>
              </w:rPr>
              <w:t>N.A.</w:t>
            </w:r>
          </w:p>
        </w:tc>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668D2F6B" w14:textId="6F0E78AB" w:rsidR="00A22D8B" w:rsidRPr="00DE6950" w:rsidRDefault="00A22D8B" w:rsidP="00B33BD5">
            <w:pPr>
              <w:spacing w:after="0"/>
              <w:jc w:val="center"/>
              <w:rPr>
                <w:color w:val="000000"/>
                <w:lang w:val="en-US"/>
              </w:rPr>
            </w:pPr>
            <w:r w:rsidRPr="00DE6950">
              <w:rPr>
                <w:color w:val="000000"/>
                <w:lang w:val="en-US"/>
              </w:rPr>
              <w:t>N.A.</w:t>
            </w:r>
          </w:p>
        </w:tc>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51610359" w14:textId="1342E38B" w:rsidR="00A22D8B" w:rsidRPr="00DE6950" w:rsidRDefault="00A22D8B" w:rsidP="00B33BD5">
            <w:pPr>
              <w:spacing w:after="0"/>
              <w:jc w:val="center"/>
              <w:rPr>
                <w:color w:val="000000"/>
                <w:lang w:val="en-US"/>
              </w:rPr>
            </w:pPr>
            <w:r w:rsidRPr="00DE6950">
              <w:rPr>
                <w:color w:val="000000"/>
                <w:lang w:val="en-US"/>
              </w:rPr>
              <w:t>N.A.</w:t>
            </w:r>
          </w:p>
        </w:tc>
      </w:tr>
      <w:tr w:rsidR="00F718A1" w:rsidRPr="00DE6950" w14:paraId="0DA0A589" w14:textId="77777777" w:rsidTr="00B33BD5">
        <w:trPr>
          <w:trHeight w:val="355"/>
          <w:jc w:val="center"/>
        </w:trPr>
        <w:tc>
          <w:tcPr>
            <w:tcW w:w="0" w:type="auto"/>
            <w:tcBorders>
              <w:top w:val="single" w:sz="4" w:space="0" w:color="auto"/>
              <w:left w:val="single" w:sz="8" w:space="0" w:color="auto"/>
              <w:bottom w:val="single" w:sz="8" w:space="0" w:color="auto"/>
              <w:right w:val="nil"/>
            </w:tcBorders>
            <w:shd w:val="clear" w:color="auto" w:fill="auto"/>
            <w:noWrap/>
            <w:vAlign w:val="bottom"/>
          </w:tcPr>
          <w:p w14:paraId="61A32BF4" w14:textId="7136C8F0" w:rsidR="00F718A1" w:rsidRPr="00DE6950" w:rsidRDefault="00937C17" w:rsidP="00B33BD5">
            <w:pPr>
              <w:spacing w:after="0"/>
              <w:jc w:val="center"/>
              <w:rPr>
                <w:b/>
                <w:bCs/>
                <w:color w:val="000000"/>
                <w:lang w:val="en-US"/>
              </w:rPr>
            </w:pPr>
            <w:r w:rsidRPr="00DE6950">
              <w:rPr>
                <w:b/>
                <w:bCs/>
                <w:color w:val="000000"/>
                <w:lang w:val="en-US"/>
              </w:rPr>
              <w:t>21.2 dBm - 80%</w:t>
            </w:r>
          </w:p>
        </w:tc>
        <w:tc>
          <w:tcPr>
            <w:tcW w:w="0" w:type="auto"/>
            <w:tcBorders>
              <w:top w:val="single" w:sz="4" w:space="0" w:color="auto"/>
              <w:left w:val="single" w:sz="8" w:space="0" w:color="auto"/>
              <w:bottom w:val="single" w:sz="8" w:space="0" w:color="auto"/>
              <w:right w:val="single" w:sz="4" w:space="0" w:color="auto"/>
            </w:tcBorders>
            <w:shd w:val="clear" w:color="auto" w:fill="auto"/>
            <w:noWrap/>
            <w:vAlign w:val="bottom"/>
          </w:tcPr>
          <w:p w14:paraId="4BDA08F4" w14:textId="415F4244" w:rsidR="00F718A1" w:rsidRPr="00DE6950" w:rsidRDefault="00F718A1" w:rsidP="00B33BD5">
            <w:pPr>
              <w:spacing w:after="0"/>
              <w:jc w:val="center"/>
              <w:rPr>
                <w:color w:val="000000"/>
                <w:lang w:val="en-US"/>
              </w:rPr>
            </w:pPr>
            <w:r w:rsidRPr="00DE6950">
              <w:rPr>
                <w:color w:val="000000"/>
                <w:lang w:val="en-US"/>
              </w:rPr>
              <w:t>N.A.</w:t>
            </w:r>
          </w:p>
        </w:tc>
        <w:tc>
          <w:tcPr>
            <w:tcW w:w="0" w:type="auto"/>
            <w:tcBorders>
              <w:top w:val="single" w:sz="4" w:space="0" w:color="auto"/>
              <w:left w:val="single" w:sz="8" w:space="0" w:color="auto"/>
              <w:bottom w:val="single" w:sz="8" w:space="0" w:color="auto"/>
              <w:right w:val="single" w:sz="4" w:space="0" w:color="auto"/>
            </w:tcBorders>
            <w:shd w:val="clear" w:color="auto" w:fill="auto"/>
            <w:noWrap/>
            <w:vAlign w:val="bottom"/>
          </w:tcPr>
          <w:p w14:paraId="06966644" w14:textId="7E7E13D3" w:rsidR="00F718A1" w:rsidRPr="00DE6950" w:rsidRDefault="00F718A1" w:rsidP="00B33BD5">
            <w:pPr>
              <w:spacing w:after="0"/>
              <w:jc w:val="center"/>
              <w:rPr>
                <w:color w:val="000000"/>
                <w:lang w:val="en-US"/>
              </w:rPr>
            </w:pPr>
            <w:r w:rsidRPr="00DE6950">
              <w:rPr>
                <w:color w:val="000000"/>
                <w:lang w:val="en-US"/>
              </w:rPr>
              <w:t>N.A.</w:t>
            </w:r>
          </w:p>
        </w:tc>
        <w:tc>
          <w:tcPr>
            <w:tcW w:w="0" w:type="auto"/>
            <w:tcBorders>
              <w:top w:val="single" w:sz="4" w:space="0" w:color="auto"/>
              <w:left w:val="single" w:sz="8" w:space="0" w:color="auto"/>
              <w:bottom w:val="single" w:sz="8" w:space="0" w:color="auto"/>
              <w:right w:val="single" w:sz="4" w:space="0" w:color="auto"/>
            </w:tcBorders>
            <w:shd w:val="clear" w:color="auto" w:fill="auto"/>
            <w:noWrap/>
            <w:vAlign w:val="bottom"/>
          </w:tcPr>
          <w:p w14:paraId="52DDE836" w14:textId="45CB7FC9" w:rsidR="00F718A1" w:rsidRPr="00DE6950" w:rsidRDefault="00F718A1" w:rsidP="00B33BD5">
            <w:pPr>
              <w:spacing w:after="0"/>
              <w:jc w:val="center"/>
              <w:rPr>
                <w:color w:val="000000"/>
                <w:lang w:val="en-US"/>
              </w:rPr>
            </w:pPr>
            <w:r w:rsidRPr="00DE6950">
              <w:rPr>
                <w:color w:val="000000"/>
                <w:lang w:val="en-US"/>
              </w:rPr>
              <w:t>N.A.</w:t>
            </w:r>
          </w:p>
        </w:tc>
        <w:tc>
          <w:tcPr>
            <w:tcW w:w="0" w:type="auto"/>
            <w:tcBorders>
              <w:top w:val="single" w:sz="4" w:space="0" w:color="auto"/>
              <w:left w:val="single" w:sz="8" w:space="0" w:color="auto"/>
              <w:bottom w:val="single" w:sz="8" w:space="0" w:color="auto"/>
              <w:right w:val="single" w:sz="4" w:space="0" w:color="auto"/>
            </w:tcBorders>
            <w:shd w:val="clear" w:color="auto" w:fill="auto"/>
            <w:noWrap/>
            <w:vAlign w:val="bottom"/>
          </w:tcPr>
          <w:p w14:paraId="26225196" w14:textId="2AF21EDB" w:rsidR="00F718A1" w:rsidRPr="00DE6950" w:rsidRDefault="00F718A1" w:rsidP="00B33BD5">
            <w:pPr>
              <w:spacing w:after="0"/>
              <w:jc w:val="center"/>
              <w:rPr>
                <w:color w:val="000000"/>
                <w:lang w:val="en-US"/>
              </w:rPr>
            </w:pPr>
            <w:r w:rsidRPr="00DE6950">
              <w:rPr>
                <w:color w:val="000000"/>
                <w:lang w:val="en-US"/>
              </w:rPr>
              <w:t>N.A.</w:t>
            </w:r>
          </w:p>
        </w:tc>
      </w:tr>
    </w:tbl>
    <w:p w14:paraId="272B216F" w14:textId="77777777" w:rsidR="00A22D8B" w:rsidRPr="00DE6950" w:rsidRDefault="00A22D8B" w:rsidP="00B33BD5">
      <w:pPr>
        <w:jc w:val="center"/>
      </w:pPr>
    </w:p>
    <w:p w14:paraId="0B9A7A1F" w14:textId="2A13EE8D" w:rsidR="00045D7C" w:rsidRPr="00DE6950" w:rsidRDefault="00045D7C" w:rsidP="00B33BD5">
      <w:pPr>
        <w:pStyle w:val="Caption"/>
        <w:keepNext/>
        <w:jc w:val="center"/>
      </w:pPr>
      <w:r w:rsidRPr="00DE6950">
        <w:t xml:space="preserve">Table </w:t>
      </w:r>
      <w:r w:rsidRPr="00DE6950">
        <w:fldChar w:fldCharType="begin"/>
      </w:r>
      <w:r w:rsidRPr="00DE6950">
        <w:instrText xml:space="preserve"> SEQ Table \* ARABIC </w:instrText>
      </w:r>
      <w:r w:rsidRPr="00DE6950">
        <w:fldChar w:fldCharType="separate"/>
      </w:r>
      <w:r w:rsidR="002A1E25" w:rsidRPr="00DE6950">
        <w:rPr>
          <w:noProof/>
        </w:rPr>
        <w:t>6</w:t>
      </w:r>
      <w:r w:rsidRPr="00DE6950">
        <w:fldChar w:fldCharType="end"/>
      </w:r>
      <w:r w:rsidRPr="00DE6950">
        <w:t>. Outage comparison for different UE peak EIRP values and different % of indoor UE</w:t>
      </w:r>
    </w:p>
    <w:tbl>
      <w:tblPr>
        <w:tblW w:w="9008" w:type="dxa"/>
        <w:jc w:val="center"/>
        <w:tblLook w:val="04A0" w:firstRow="1" w:lastRow="0" w:firstColumn="1" w:lastColumn="0" w:noHBand="0" w:noVBand="1"/>
      </w:tblPr>
      <w:tblGrid>
        <w:gridCol w:w="3437"/>
        <w:gridCol w:w="1392"/>
        <w:gridCol w:w="1393"/>
        <w:gridCol w:w="1393"/>
        <w:gridCol w:w="1393"/>
      </w:tblGrid>
      <w:tr w:rsidR="00490604" w:rsidRPr="00DE6950" w14:paraId="71AF1310" w14:textId="77777777" w:rsidTr="005A2EEF">
        <w:trPr>
          <w:trHeight w:val="345"/>
          <w:jc w:val="center"/>
        </w:trPr>
        <w:tc>
          <w:tcPr>
            <w:tcW w:w="0" w:type="auto"/>
            <w:tcBorders>
              <w:top w:val="nil"/>
              <w:left w:val="nil"/>
              <w:bottom w:val="nil"/>
              <w:right w:val="nil"/>
            </w:tcBorders>
            <w:shd w:val="clear" w:color="auto" w:fill="auto"/>
            <w:noWrap/>
            <w:vAlign w:val="bottom"/>
            <w:hideMark/>
          </w:tcPr>
          <w:p w14:paraId="05C013E4" w14:textId="77777777" w:rsidR="00490604" w:rsidRPr="00DE6950" w:rsidRDefault="00490604" w:rsidP="00B33BD5">
            <w:pPr>
              <w:spacing w:after="0"/>
              <w:jc w:val="center"/>
              <w:rPr>
                <w:lang w:val="en-US"/>
              </w:rPr>
            </w:pPr>
          </w:p>
        </w:tc>
        <w:tc>
          <w:tcPr>
            <w:tcW w:w="0" w:type="auto"/>
            <w:gridSpan w:val="4"/>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34C7D7D0" w14:textId="77777777" w:rsidR="00490604" w:rsidRPr="00DE6950" w:rsidRDefault="00490604" w:rsidP="00B33BD5">
            <w:pPr>
              <w:spacing w:after="0"/>
              <w:jc w:val="center"/>
              <w:rPr>
                <w:b/>
                <w:bCs/>
                <w:color w:val="000000"/>
                <w:lang w:val="en-US"/>
              </w:rPr>
            </w:pPr>
            <w:r w:rsidRPr="00DE6950">
              <w:rPr>
                <w:b/>
                <w:bCs/>
                <w:color w:val="000000"/>
                <w:lang w:val="en-US"/>
              </w:rPr>
              <w:t>Outage</w:t>
            </w:r>
          </w:p>
        </w:tc>
      </w:tr>
      <w:tr w:rsidR="00490604" w:rsidRPr="00DE6950" w14:paraId="655646CF" w14:textId="77777777" w:rsidTr="005A2EEF">
        <w:trPr>
          <w:trHeight w:val="345"/>
          <w:jc w:val="center"/>
        </w:trPr>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647B381C" w14:textId="77777777" w:rsidR="00490604" w:rsidRPr="00DE6950" w:rsidRDefault="00490604" w:rsidP="00B33BD5">
            <w:pPr>
              <w:spacing w:after="0"/>
              <w:jc w:val="center"/>
              <w:rPr>
                <w:b/>
                <w:bCs/>
                <w:color w:val="000000"/>
                <w:lang w:val="en-US"/>
              </w:rPr>
            </w:pPr>
            <w:r w:rsidRPr="00DE6950">
              <w:rPr>
                <w:b/>
                <w:bCs/>
                <w:color w:val="000000"/>
                <w:lang w:val="en-US"/>
              </w:rPr>
              <w:t>Max EIRP [dBm] - % indoor UE</w:t>
            </w:r>
          </w:p>
        </w:tc>
        <w:tc>
          <w:tcPr>
            <w:tcW w:w="0" w:type="auto"/>
            <w:tcBorders>
              <w:top w:val="nil"/>
              <w:left w:val="nil"/>
              <w:bottom w:val="single" w:sz="8" w:space="0" w:color="auto"/>
              <w:right w:val="single" w:sz="4" w:space="0" w:color="auto"/>
            </w:tcBorders>
            <w:shd w:val="clear" w:color="auto" w:fill="auto"/>
            <w:noWrap/>
            <w:vAlign w:val="bottom"/>
            <w:hideMark/>
          </w:tcPr>
          <w:p w14:paraId="66246834" w14:textId="77777777" w:rsidR="00490604" w:rsidRPr="00DE6950" w:rsidRDefault="00490604" w:rsidP="00B33BD5">
            <w:pPr>
              <w:spacing w:after="0"/>
              <w:jc w:val="center"/>
              <w:rPr>
                <w:b/>
                <w:bCs/>
                <w:color w:val="000000"/>
                <w:lang w:val="en-US"/>
              </w:rPr>
            </w:pPr>
            <w:r w:rsidRPr="00DE6950">
              <w:rPr>
                <w:b/>
                <w:bCs/>
                <w:color w:val="000000"/>
                <w:lang w:val="en-US"/>
              </w:rPr>
              <w:t>ISD = 100m</w:t>
            </w:r>
          </w:p>
        </w:tc>
        <w:tc>
          <w:tcPr>
            <w:tcW w:w="0" w:type="auto"/>
            <w:tcBorders>
              <w:top w:val="nil"/>
              <w:left w:val="nil"/>
              <w:bottom w:val="single" w:sz="8" w:space="0" w:color="auto"/>
              <w:right w:val="single" w:sz="4" w:space="0" w:color="auto"/>
            </w:tcBorders>
            <w:shd w:val="clear" w:color="auto" w:fill="auto"/>
            <w:noWrap/>
            <w:vAlign w:val="bottom"/>
            <w:hideMark/>
          </w:tcPr>
          <w:p w14:paraId="1DBE9186" w14:textId="77777777" w:rsidR="00490604" w:rsidRPr="00DE6950" w:rsidRDefault="00490604" w:rsidP="00B33BD5">
            <w:pPr>
              <w:spacing w:after="0"/>
              <w:jc w:val="center"/>
              <w:rPr>
                <w:b/>
                <w:bCs/>
                <w:color w:val="000000"/>
                <w:lang w:val="en-US"/>
              </w:rPr>
            </w:pPr>
            <w:r w:rsidRPr="00DE6950">
              <w:rPr>
                <w:b/>
                <w:bCs/>
                <w:color w:val="000000"/>
                <w:lang w:val="en-US"/>
              </w:rPr>
              <w:t>ISD = 200m</w:t>
            </w:r>
          </w:p>
        </w:tc>
        <w:tc>
          <w:tcPr>
            <w:tcW w:w="0" w:type="auto"/>
            <w:tcBorders>
              <w:top w:val="nil"/>
              <w:left w:val="nil"/>
              <w:bottom w:val="single" w:sz="8" w:space="0" w:color="auto"/>
              <w:right w:val="single" w:sz="4" w:space="0" w:color="auto"/>
            </w:tcBorders>
            <w:shd w:val="clear" w:color="auto" w:fill="auto"/>
            <w:noWrap/>
            <w:vAlign w:val="bottom"/>
            <w:hideMark/>
          </w:tcPr>
          <w:p w14:paraId="32E1741C" w14:textId="77777777" w:rsidR="00490604" w:rsidRPr="00DE6950" w:rsidRDefault="00490604" w:rsidP="00B33BD5">
            <w:pPr>
              <w:spacing w:after="0"/>
              <w:jc w:val="center"/>
              <w:rPr>
                <w:b/>
                <w:bCs/>
                <w:color w:val="000000"/>
                <w:lang w:val="en-US"/>
              </w:rPr>
            </w:pPr>
            <w:r w:rsidRPr="00DE6950">
              <w:rPr>
                <w:b/>
                <w:bCs/>
                <w:color w:val="000000"/>
                <w:lang w:val="en-US"/>
              </w:rPr>
              <w:t>ISD = 300m</w:t>
            </w:r>
          </w:p>
        </w:tc>
        <w:tc>
          <w:tcPr>
            <w:tcW w:w="0" w:type="auto"/>
            <w:tcBorders>
              <w:top w:val="nil"/>
              <w:left w:val="nil"/>
              <w:bottom w:val="single" w:sz="8" w:space="0" w:color="auto"/>
              <w:right w:val="single" w:sz="8" w:space="0" w:color="auto"/>
            </w:tcBorders>
            <w:shd w:val="clear" w:color="auto" w:fill="auto"/>
            <w:noWrap/>
            <w:vAlign w:val="bottom"/>
            <w:hideMark/>
          </w:tcPr>
          <w:p w14:paraId="0E301304" w14:textId="77777777" w:rsidR="00490604" w:rsidRPr="00DE6950" w:rsidRDefault="00490604" w:rsidP="00B33BD5">
            <w:pPr>
              <w:spacing w:after="0"/>
              <w:jc w:val="center"/>
              <w:rPr>
                <w:b/>
                <w:bCs/>
                <w:color w:val="000000"/>
                <w:lang w:val="en-US"/>
              </w:rPr>
            </w:pPr>
            <w:r w:rsidRPr="00DE6950">
              <w:rPr>
                <w:b/>
                <w:bCs/>
                <w:color w:val="000000"/>
                <w:lang w:val="en-US"/>
              </w:rPr>
              <w:t>ISD = 400m</w:t>
            </w:r>
          </w:p>
        </w:tc>
      </w:tr>
      <w:tr w:rsidR="00490604" w:rsidRPr="00DE6950" w14:paraId="6682A169" w14:textId="77777777" w:rsidTr="005A2EEF">
        <w:trPr>
          <w:trHeight w:val="345"/>
          <w:jc w:val="center"/>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39E7628B" w14:textId="77777777" w:rsidR="00490604" w:rsidRPr="00DE6950" w:rsidRDefault="00490604" w:rsidP="00B33BD5">
            <w:pPr>
              <w:spacing w:after="0"/>
              <w:jc w:val="center"/>
              <w:rPr>
                <w:b/>
                <w:bCs/>
                <w:color w:val="000000"/>
                <w:lang w:val="en-US"/>
              </w:rPr>
            </w:pPr>
            <w:r w:rsidRPr="00DE6950">
              <w:rPr>
                <w:b/>
                <w:bCs/>
                <w:color w:val="000000"/>
                <w:lang w:val="en-US"/>
              </w:rPr>
              <w:t>25.2 dBm - 0%</w:t>
            </w:r>
          </w:p>
        </w:tc>
        <w:tc>
          <w:tcPr>
            <w:tcW w:w="0" w:type="auto"/>
            <w:tcBorders>
              <w:top w:val="nil"/>
              <w:left w:val="nil"/>
              <w:bottom w:val="single" w:sz="8" w:space="0" w:color="auto"/>
              <w:right w:val="single" w:sz="4" w:space="0" w:color="auto"/>
            </w:tcBorders>
            <w:shd w:val="clear" w:color="auto" w:fill="auto"/>
            <w:noWrap/>
            <w:vAlign w:val="bottom"/>
            <w:hideMark/>
          </w:tcPr>
          <w:p w14:paraId="7CBC452F" w14:textId="77777777" w:rsidR="00490604" w:rsidRPr="00DE6950" w:rsidRDefault="00490604" w:rsidP="00B33BD5">
            <w:pPr>
              <w:spacing w:after="0"/>
              <w:jc w:val="center"/>
              <w:rPr>
                <w:color w:val="000000"/>
                <w:lang w:val="en-US"/>
              </w:rPr>
            </w:pPr>
            <w:r w:rsidRPr="00DE6950">
              <w:rPr>
                <w:color w:val="000000"/>
                <w:lang w:val="en-US"/>
              </w:rPr>
              <w:t>0%</w:t>
            </w:r>
          </w:p>
        </w:tc>
        <w:tc>
          <w:tcPr>
            <w:tcW w:w="0" w:type="auto"/>
            <w:tcBorders>
              <w:top w:val="nil"/>
              <w:left w:val="single" w:sz="8" w:space="0" w:color="auto"/>
              <w:bottom w:val="single" w:sz="8" w:space="0" w:color="auto"/>
              <w:right w:val="single" w:sz="4" w:space="0" w:color="auto"/>
            </w:tcBorders>
            <w:shd w:val="clear" w:color="auto" w:fill="auto"/>
            <w:noWrap/>
            <w:vAlign w:val="bottom"/>
            <w:hideMark/>
          </w:tcPr>
          <w:p w14:paraId="5DB72258" w14:textId="77777777" w:rsidR="00490604" w:rsidRPr="00DE6950" w:rsidRDefault="00490604" w:rsidP="00B33BD5">
            <w:pPr>
              <w:spacing w:after="0"/>
              <w:jc w:val="center"/>
              <w:rPr>
                <w:color w:val="000000"/>
                <w:lang w:val="en-US"/>
              </w:rPr>
            </w:pPr>
            <w:r w:rsidRPr="00DE6950">
              <w:rPr>
                <w:color w:val="000000"/>
                <w:lang w:val="en-US"/>
              </w:rPr>
              <w:t>1%</w:t>
            </w:r>
          </w:p>
        </w:tc>
        <w:tc>
          <w:tcPr>
            <w:tcW w:w="0" w:type="auto"/>
            <w:tcBorders>
              <w:top w:val="nil"/>
              <w:left w:val="single" w:sz="8" w:space="0" w:color="auto"/>
              <w:bottom w:val="single" w:sz="8" w:space="0" w:color="auto"/>
              <w:right w:val="single" w:sz="4" w:space="0" w:color="auto"/>
            </w:tcBorders>
            <w:shd w:val="clear" w:color="auto" w:fill="auto"/>
            <w:noWrap/>
            <w:vAlign w:val="bottom"/>
            <w:hideMark/>
          </w:tcPr>
          <w:p w14:paraId="55AD76FD" w14:textId="77777777" w:rsidR="00490604" w:rsidRPr="00DE6950" w:rsidRDefault="00490604" w:rsidP="00B33BD5">
            <w:pPr>
              <w:spacing w:after="0"/>
              <w:jc w:val="center"/>
              <w:rPr>
                <w:color w:val="000000"/>
                <w:lang w:val="en-US"/>
              </w:rPr>
            </w:pPr>
            <w:r w:rsidRPr="00DE6950">
              <w:rPr>
                <w:color w:val="000000"/>
                <w:lang w:val="en-US"/>
              </w:rPr>
              <w:t>1%</w:t>
            </w:r>
          </w:p>
        </w:tc>
        <w:tc>
          <w:tcPr>
            <w:tcW w:w="0" w:type="auto"/>
            <w:tcBorders>
              <w:top w:val="nil"/>
              <w:left w:val="single" w:sz="8" w:space="0" w:color="auto"/>
              <w:bottom w:val="single" w:sz="8" w:space="0" w:color="auto"/>
              <w:right w:val="single" w:sz="4" w:space="0" w:color="auto"/>
            </w:tcBorders>
            <w:shd w:val="clear" w:color="auto" w:fill="auto"/>
            <w:noWrap/>
            <w:vAlign w:val="bottom"/>
            <w:hideMark/>
          </w:tcPr>
          <w:p w14:paraId="7ABAACC3" w14:textId="77777777" w:rsidR="00490604" w:rsidRPr="00DE6950" w:rsidRDefault="00490604" w:rsidP="00B33BD5">
            <w:pPr>
              <w:spacing w:after="0"/>
              <w:jc w:val="center"/>
              <w:rPr>
                <w:color w:val="000000"/>
                <w:lang w:val="en-US"/>
              </w:rPr>
            </w:pPr>
            <w:r w:rsidRPr="00DE6950">
              <w:rPr>
                <w:color w:val="000000"/>
                <w:lang w:val="en-US"/>
              </w:rPr>
              <w:t>2%</w:t>
            </w:r>
          </w:p>
        </w:tc>
      </w:tr>
      <w:tr w:rsidR="00490604" w:rsidRPr="00DE6950" w14:paraId="059040C3" w14:textId="77777777" w:rsidTr="005A2EEF">
        <w:trPr>
          <w:trHeight w:val="345"/>
          <w:jc w:val="center"/>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3C771AA0" w14:textId="77777777" w:rsidR="00490604" w:rsidRPr="00DE6950" w:rsidRDefault="00490604" w:rsidP="00B33BD5">
            <w:pPr>
              <w:spacing w:after="0"/>
              <w:jc w:val="center"/>
              <w:rPr>
                <w:b/>
                <w:bCs/>
                <w:color w:val="000000"/>
                <w:lang w:val="en-US"/>
              </w:rPr>
            </w:pPr>
            <w:r w:rsidRPr="00DE6950">
              <w:rPr>
                <w:b/>
                <w:bCs/>
                <w:color w:val="000000"/>
                <w:lang w:val="en-US"/>
              </w:rPr>
              <w:t>21.2 dBm - 0%</w:t>
            </w:r>
          </w:p>
        </w:tc>
        <w:tc>
          <w:tcPr>
            <w:tcW w:w="0" w:type="auto"/>
            <w:tcBorders>
              <w:top w:val="nil"/>
              <w:left w:val="nil"/>
              <w:bottom w:val="single" w:sz="8" w:space="0" w:color="auto"/>
              <w:right w:val="single" w:sz="4" w:space="0" w:color="auto"/>
            </w:tcBorders>
            <w:shd w:val="clear" w:color="auto" w:fill="auto"/>
            <w:noWrap/>
            <w:vAlign w:val="bottom"/>
            <w:hideMark/>
          </w:tcPr>
          <w:p w14:paraId="40455207" w14:textId="77777777" w:rsidR="00490604" w:rsidRPr="00DE6950" w:rsidRDefault="00490604" w:rsidP="00B33BD5">
            <w:pPr>
              <w:spacing w:after="0"/>
              <w:jc w:val="center"/>
              <w:rPr>
                <w:color w:val="000000"/>
                <w:lang w:val="en-US"/>
              </w:rPr>
            </w:pPr>
            <w:r w:rsidRPr="00DE6950">
              <w:rPr>
                <w:color w:val="000000"/>
                <w:lang w:val="en-US"/>
              </w:rPr>
              <w:t>0%</w:t>
            </w:r>
          </w:p>
        </w:tc>
        <w:tc>
          <w:tcPr>
            <w:tcW w:w="0" w:type="auto"/>
            <w:tcBorders>
              <w:top w:val="nil"/>
              <w:left w:val="single" w:sz="8" w:space="0" w:color="auto"/>
              <w:bottom w:val="single" w:sz="8" w:space="0" w:color="auto"/>
              <w:right w:val="single" w:sz="4" w:space="0" w:color="auto"/>
            </w:tcBorders>
            <w:shd w:val="clear" w:color="auto" w:fill="auto"/>
            <w:noWrap/>
            <w:vAlign w:val="bottom"/>
            <w:hideMark/>
          </w:tcPr>
          <w:p w14:paraId="3E68B195" w14:textId="77777777" w:rsidR="00490604" w:rsidRPr="00DE6950" w:rsidRDefault="00490604" w:rsidP="00B33BD5">
            <w:pPr>
              <w:spacing w:after="0"/>
              <w:jc w:val="center"/>
              <w:rPr>
                <w:color w:val="000000"/>
                <w:lang w:val="en-US"/>
              </w:rPr>
            </w:pPr>
            <w:r w:rsidRPr="00DE6950">
              <w:rPr>
                <w:color w:val="000000"/>
                <w:lang w:val="en-US"/>
              </w:rPr>
              <w:t>1%</w:t>
            </w:r>
          </w:p>
        </w:tc>
        <w:tc>
          <w:tcPr>
            <w:tcW w:w="0" w:type="auto"/>
            <w:tcBorders>
              <w:top w:val="nil"/>
              <w:left w:val="single" w:sz="8" w:space="0" w:color="auto"/>
              <w:bottom w:val="single" w:sz="8" w:space="0" w:color="auto"/>
              <w:right w:val="single" w:sz="4" w:space="0" w:color="auto"/>
            </w:tcBorders>
            <w:shd w:val="clear" w:color="auto" w:fill="auto"/>
            <w:noWrap/>
            <w:vAlign w:val="bottom"/>
            <w:hideMark/>
          </w:tcPr>
          <w:p w14:paraId="51716F34" w14:textId="77777777" w:rsidR="00490604" w:rsidRPr="00DE6950" w:rsidRDefault="00490604" w:rsidP="00B33BD5">
            <w:pPr>
              <w:spacing w:after="0"/>
              <w:jc w:val="center"/>
              <w:rPr>
                <w:color w:val="000000"/>
                <w:lang w:val="en-US"/>
              </w:rPr>
            </w:pPr>
            <w:r w:rsidRPr="00DE6950">
              <w:rPr>
                <w:color w:val="000000"/>
                <w:lang w:val="en-US"/>
              </w:rPr>
              <w:t>1%</w:t>
            </w:r>
          </w:p>
        </w:tc>
        <w:tc>
          <w:tcPr>
            <w:tcW w:w="0" w:type="auto"/>
            <w:tcBorders>
              <w:top w:val="nil"/>
              <w:left w:val="single" w:sz="8" w:space="0" w:color="auto"/>
              <w:bottom w:val="single" w:sz="8" w:space="0" w:color="auto"/>
              <w:right w:val="single" w:sz="4" w:space="0" w:color="auto"/>
            </w:tcBorders>
            <w:shd w:val="clear" w:color="auto" w:fill="auto"/>
            <w:noWrap/>
            <w:vAlign w:val="bottom"/>
            <w:hideMark/>
          </w:tcPr>
          <w:p w14:paraId="07C40213" w14:textId="77777777" w:rsidR="00490604" w:rsidRPr="00DE6950" w:rsidRDefault="00490604" w:rsidP="00B33BD5">
            <w:pPr>
              <w:spacing w:after="0"/>
              <w:jc w:val="center"/>
              <w:rPr>
                <w:color w:val="000000"/>
                <w:lang w:val="en-US"/>
              </w:rPr>
            </w:pPr>
            <w:r w:rsidRPr="00DE6950">
              <w:rPr>
                <w:color w:val="000000"/>
                <w:lang w:val="en-US"/>
              </w:rPr>
              <w:t>3%</w:t>
            </w:r>
          </w:p>
        </w:tc>
      </w:tr>
      <w:tr w:rsidR="00490604" w:rsidRPr="00DE6950" w14:paraId="3D696C22" w14:textId="77777777" w:rsidTr="005A2EEF">
        <w:trPr>
          <w:trHeight w:val="345"/>
          <w:jc w:val="center"/>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0A11329D" w14:textId="77777777" w:rsidR="00490604" w:rsidRPr="00DE6950" w:rsidRDefault="00490604" w:rsidP="00B33BD5">
            <w:pPr>
              <w:spacing w:after="0"/>
              <w:jc w:val="center"/>
              <w:rPr>
                <w:b/>
                <w:bCs/>
                <w:color w:val="000000"/>
                <w:lang w:val="en-US"/>
              </w:rPr>
            </w:pPr>
            <w:r w:rsidRPr="00DE6950">
              <w:rPr>
                <w:b/>
                <w:bCs/>
                <w:color w:val="000000"/>
                <w:lang w:val="en-US"/>
              </w:rPr>
              <w:t>25.2 dBm - 20%</w:t>
            </w:r>
          </w:p>
        </w:tc>
        <w:tc>
          <w:tcPr>
            <w:tcW w:w="0" w:type="auto"/>
            <w:tcBorders>
              <w:top w:val="nil"/>
              <w:left w:val="nil"/>
              <w:bottom w:val="single" w:sz="8" w:space="0" w:color="auto"/>
              <w:right w:val="single" w:sz="4" w:space="0" w:color="auto"/>
            </w:tcBorders>
            <w:shd w:val="clear" w:color="auto" w:fill="auto"/>
            <w:noWrap/>
            <w:vAlign w:val="bottom"/>
            <w:hideMark/>
          </w:tcPr>
          <w:p w14:paraId="50CF663C" w14:textId="77777777" w:rsidR="00490604" w:rsidRPr="00DE6950" w:rsidRDefault="00490604" w:rsidP="00B33BD5">
            <w:pPr>
              <w:spacing w:after="0"/>
              <w:jc w:val="center"/>
              <w:rPr>
                <w:color w:val="000000"/>
                <w:lang w:val="en-US"/>
              </w:rPr>
            </w:pPr>
            <w:r w:rsidRPr="00DE6950">
              <w:rPr>
                <w:color w:val="000000"/>
                <w:lang w:val="en-US"/>
              </w:rPr>
              <w:t>3%</w:t>
            </w:r>
          </w:p>
        </w:tc>
        <w:tc>
          <w:tcPr>
            <w:tcW w:w="0" w:type="auto"/>
            <w:tcBorders>
              <w:top w:val="nil"/>
              <w:left w:val="single" w:sz="8" w:space="0" w:color="auto"/>
              <w:bottom w:val="single" w:sz="8" w:space="0" w:color="auto"/>
              <w:right w:val="single" w:sz="4" w:space="0" w:color="auto"/>
            </w:tcBorders>
            <w:shd w:val="clear" w:color="auto" w:fill="auto"/>
            <w:noWrap/>
            <w:vAlign w:val="bottom"/>
            <w:hideMark/>
          </w:tcPr>
          <w:p w14:paraId="3F91E44A" w14:textId="77777777" w:rsidR="00490604" w:rsidRPr="00DE6950" w:rsidRDefault="00490604" w:rsidP="00B33BD5">
            <w:pPr>
              <w:spacing w:after="0"/>
              <w:jc w:val="center"/>
              <w:rPr>
                <w:color w:val="000000"/>
                <w:lang w:val="en-US"/>
              </w:rPr>
            </w:pPr>
            <w:r w:rsidRPr="00DE6950">
              <w:rPr>
                <w:color w:val="000000"/>
                <w:lang w:val="en-US"/>
              </w:rPr>
              <w:t>7%</w:t>
            </w:r>
          </w:p>
        </w:tc>
        <w:tc>
          <w:tcPr>
            <w:tcW w:w="0" w:type="auto"/>
            <w:tcBorders>
              <w:top w:val="nil"/>
              <w:left w:val="single" w:sz="8" w:space="0" w:color="auto"/>
              <w:bottom w:val="single" w:sz="8" w:space="0" w:color="auto"/>
              <w:right w:val="single" w:sz="4" w:space="0" w:color="auto"/>
            </w:tcBorders>
            <w:shd w:val="clear" w:color="auto" w:fill="auto"/>
            <w:noWrap/>
            <w:vAlign w:val="bottom"/>
            <w:hideMark/>
          </w:tcPr>
          <w:p w14:paraId="5AEFB237" w14:textId="77777777" w:rsidR="00490604" w:rsidRPr="00DE6950" w:rsidRDefault="00490604" w:rsidP="00B33BD5">
            <w:pPr>
              <w:spacing w:after="0"/>
              <w:jc w:val="center"/>
              <w:rPr>
                <w:color w:val="000000"/>
                <w:lang w:val="en-US"/>
              </w:rPr>
            </w:pPr>
            <w:r w:rsidRPr="00DE6950">
              <w:rPr>
                <w:color w:val="000000"/>
                <w:lang w:val="en-US"/>
              </w:rPr>
              <w:t>11%</w:t>
            </w:r>
          </w:p>
        </w:tc>
        <w:tc>
          <w:tcPr>
            <w:tcW w:w="0" w:type="auto"/>
            <w:tcBorders>
              <w:top w:val="nil"/>
              <w:left w:val="single" w:sz="8" w:space="0" w:color="auto"/>
              <w:bottom w:val="single" w:sz="8" w:space="0" w:color="auto"/>
              <w:right w:val="single" w:sz="4" w:space="0" w:color="auto"/>
            </w:tcBorders>
            <w:shd w:val="clear" w:color="auto" w:fill="auto"/>
            <w:noWrap/>
            <w:vAlign w:val="bottom"/>
            <w:hideMark/>
          </w:tcPr>
          <w:p w14:paraId="3894BED3" w14:textId="77777777" w:rsidR="00490604" w:rsidRPr="00DE6950" w:rsidRDefault="00490604" w:rsidP="00B33BD5">
            <w:pPr>
              <w:spacing w:after="0"/>
              <w:jc w:val="center"/>
              <w:rPr>
                <w:color w:val="000000"/>
                <w:lang w:val="en-US"/>
              </w:rPr>
            </w:pPr>
            <w:r w:rsidRPr="00DE6950">
              <w:rPr>
                <w:color w:val="000000"/>
                <w:lang w:val="en-US"/>
              </w:rPr>
              <w:t>13%</w:t>
            </w:r>
          </w:p>
        </w:tc>
      </w:tr>
      <w:tr w:rsidR="00490604" w:rsidRPr="00DE6950" w14:paraId="36869C73" w14:textId="77777777" w:rsidTr="005A2EEF">
        <w:trPr>
          <w:trHeight w:val="345"/>
          <w:jc w:val="center"/>
        </w:trPr>
        <w:tc>
          <w:tcPr>
            <w:tcW w:w="0" w:type="auto"/>
            <w:tcBorders>
              <w:top w:val="nil"/>
              <w:left w:val="single" w:sz="8" w:space="0" w:color="auto"/>
              <w:bottom w:val="single" w:sz="4" w:space="0" w:color="auto"/>
              <w:right w:val="nil"/>
            </w:tcBorders>
            <w:shd w:val="clear" w:color="auto" w:fill="auto"/>
            <w:noWrap/>
            <w:vAlign w:val="bottom"/>
            <w:hideMark/>
          </w:tcPr>
          <w:p w14:paraId="10663922" w14:textId="77777777" w:rsidR="00490604" w:rsidRPr="00DE6950" w:rsidRDefault="00490604" w:rsidP="00B33BD5">
            <w:pPr>
              <w:spacing w:after="0"/>
              <w:jc w:val="center"/>
              <w:rPr>
                <w:b/>
                <w:bCs/>
                <w:color w:val="000000"/>
                <w:lang w:val="en-US"/>
              </w:rPr>
            </w:pPr>
            <w:r w:rsidRPr="00DE6950">
              <w:rPr>
                <w:b/>
                <w:bCs/>
                <w:color w:val="000000"/>
                <w:lang w:val="en-US"/>
              </w:rPr>
              <w:t>21.2 dBm - 20%</w:t>
            </w:r>
          </w:p>
        </w:tc>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3CAA8C97" w14:textId="77777777" w:rsidR="00490604" w:rsidRPr="00DE6950" w:rsidRDefault="00490604" w:rsidP="00B33BD5">
            <w:pPr>
              <w:spacing w:after="0"/>
              <w:jc w:val="center"/>
              <w:rPr>
                <w:color w:val="000000"/>
                <w:lang w:val="en-US"/>
              </w:rPr>
            </w:pPr>
            <w:r w:rsidRPr="00DE6950">
              <w:rPr>
                <w:color w:val="000000"/>
                <w:lang w:val="en-US"/>
              </w:rPr>
              <w:t>4%</w:t>
            </w:r>
          </w:p>
        </w:tc>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75E06261" w14:textId="77777777" w:rsidR="00490604" w:rsidRPr="00DE6950" w:rsidRDefault="00490604" w:rsidP="00B33BD5">
            <w:pPr>
              <w:spacing w:after="0"/>
              <w:jc w:val="center"/>
              <w:rPr>
                <w:color w:val="000000"/>
                <w:lang w:val="en-US"/>
              </w:rPr>
            </w:pPr>
            <w:r w:rsidRPr="00DE6950">
              <w:rPr>
                <w:color w:val="000000"/>
                <w:lang w:val="en-US"/>
              </w:rPr>
              <w:t>9%</w:t>
            </w:r>
          </w:p>
        </w:tc>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3C2B2829" w14:textId="77777777" w:rsidR="00490604" w:rsidRPr="00DE6950" w:rsidRDefault="00490604" w:rsidP="00B33BD5">
            <w:pPr>
              <w:spacing w:after="0"/>
              <w:jc w:val="center"/>
              <w:rPr>
                <w:color w:val="000000"/>
                <w:lang w:val="en-US"/>
              </w:rPr>
            </w:pPr>
            <w:r w:rsidRPr="00DE6950">
              <w:rPr>
                <w:color w:val="000000"/>
                <w:lang w:val="en-US"/>
              </w:rPr>
              <w:t>13%</w:t>
            </w:r>
          </w:p>
        </w:tc>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5EB08FB9" w14:textId="77777777" w:rsidR="00490604" w:rsidRPr="00DE6950" w:rsidRDefault="00490604" w:rsidP="00B33BD5">
            <w:pPr>
              <w:spacing w:after="0"/>
              <w:jc w:val="center"/>
              <w:rPr>
                <w:color w:val="000000"/>
                <w:lang w:val="en-US"/>
              </w:rPr>
            </w:pPr>
            <w:r w:rsidRPr="00DE6950">
              <w:rPr>
                <w:color w:val="000000"/>
                <w:lang w:val="en-US"/>
              </w:rPr>
              <w:t>16%</w:t>
            </w:r>
          </w:p>
        </w:tc>
      </w:tr>
      <w:tr w:rsidR="000F0969" w:rsidRPr="00DE6950" w14:paraId="677C18CC" w14:textId="77777777" w:rsidTr="005A2EEF">
        <w:trPr>
          <w:trHeight w:val="345"/>
          <w:jc w:val="center"/>
        </w:trPr>
        <w:tc>
          <w:tcPr>
            <w:tcW w:w="0" w:type="auto"/>
            <w:tcBorders>
              <w:top w:val="single" w:sz="4" w:space="0" w:color="auto"/>
              <w:left w:val="single" w:sz="8" w:space="0" w:color="auto"/>
              <w:bottom w:val="single" w:sz="4" w:space="0" w:color="auto"/>
              <w:right w:val="nil"/>
            </w:tcBorders>
            <w:shd w:val="clear" w:color="auto" w:fill="auto"/>
            <w:noWrap/>
            <w:vAlign w:val="bottom"/>
          </w:tcPr>
          <w:p w14:paraId="31618DB6" w14:textId="3A36C7A8" w:rsidR="000F0969" w:rsidRPr="00DE6950" w:rsidRDefault="000F0969" w:rsidP="00B33BD5">
            <w:pPr>
              <w:spacing w:after="0"/>
              <w:jc w:val="center"/>
              <w:rPr>
                <w:b/>
                <w:bCs/>
                <w:color w:val="000000"/>
                <w:lang w:val="en-US"/>
              </w:rPr>
            </w:pPr>
            <w:r w:rsidRPr="00DE6950">
              <w:rPr>
                <w:b/>
                <w:bCs/>
                <w:color w:val="000000"/>
                <w:lang w:val="en-US"/>
              </w:rPr>
              <w:t>25.2 dBm - 80%</w:t>
            </w:r>
          </w:p>
        </w:tc>
        <w:tc>
          <w:tcPr>
            <w:tcW w:w="0" w:type="auto"/>
            <w:tcBorders>
              <w:top w:val="single" w:sz="4" w:space="0" w:color="auto"/>
              <w:left w:val="single" w:sz="8" w:space="0" w:color="auto"/>
              <w:bottom w:val="single" w:sz="4" w:space="0" w:color="auto"/>
              <w:right w:val="single" w:sz="4" w:space="0" w:color="auto"/>
            </w:tcBorders>
            <w:shd w:val="clear" w:color="auto" w:fill="auto"/>
            <w:noWrap/>
            <w:vAlign w:val="bottom"/>
          </w:tcPr>
          <w:p w14:paraId="06865FB4" w14:textId="366BFBFA" w:rsidR="000F0969" w:rsidRPr="00DE6950" w:rsidRDefault="000F0969" w:rsidP="00B33BD5">
            <w:pPr>
              <w:spacing w:after="0"/>
              <w:jc w:val="center"/>
              <w:rPr>
                <w:color w:val="000000"/>
                <w:lang w:val="en-US"/>
              </w:rPr>
            </w:pPr>
            <w:r w:rsidRPr="00DE6950">
              <w:rPr>
                <w:color w:val="000000"/>
                <w:lang w:val="en-US"/>
              </w:rPr>
              <w:t>7%</w:t>
            </w:r>
          </w:p>
        </w:tc>
        <w:tc>
          <w:tcPr>
            <w:tcW w:w="0" w:type="auto"/>
            <w:tcBorders>
              <w:top w:val="single" w:sz="4" w:space="0" w:color="auto"/>
              <w:left w:val="single" w:sz="8" w:space="0" w:color="auto"/>
              <w:bottom w:val="single" w:sz="4" w:space="0" w:color="auto"/>
              <w:right w:val="single" w:sz="4" w:space="0" w:color="auto"/>
            </w:tcBorders>
            <w:shd w:val="clear" w:color="auto" w:fill="auto"/>
            <w:noWrap/>
            <w:vAlign w:val="bottom"/>
          </w:tcPr>
          <w:p w14:paraId="6C123509" w14:textId="67AE66C8" w:rsidR="000F0969" w:rsidRPr="00DE6950" w:rsidRDefault="000F0969" w:rsidP="00B33BD5">
            <w:pPr>
              <w:spacing w:after="0"/>
              <w:jc w:val="center"/>
              <w:rPr>
                <w:color w:val="000000"/>
                <w:lang w:val="en-US"/>
              </w:rPr>
            </w:pPr>
            <w:r w:rsidRPr="00DE6950">
              <w:rPr>
                <w:color w:val="000000"/>
                <w:lang w:val="en-US"/>
              </w:rPr>
              <w:t>25%</w:t>
            </w:r>
          </w:p>
        </w:tc>
        <w:tc>
          <w:tcPr>
            <w:tcW w:w="0" w:type="auto"/>
            <w:tcBorders>
              <w:top w:val="single" w:sz="4" w:space="0" w:color="auto"/>
              <w:left w:val="single" w:sz="8" w:space="0" w:color="auto"/>
              <w:bottom w:val="single" w:sz="4" w:space="0" w:color="auto"/>
              <w:right w:val="single" w:sz="4" w:space="0" w:color="auto"/>
            </w:tcBorders>
            <w:shd w:val="clear" w:color="auto" w:fill="auto"/>
            <w:noWrap/>
            <w:vAlign w:val="bottom"/>
          </w:tcPr>
          <w:p w14:paraId="11898066" w14:textId="28A9F301" w:rsidR="000F0969" w:rsidRPr="00DE6950" w:rsidRDefault="000F0969" w:rsidP="00B33BD5">
            <w:pPr>
              <w:spacing w:after="0"/>
              <w:jc w:val="center"/>
              <w:rPr>
                <w:color w:val="000000"/>
                <w:lang w:val="en-US"/>
              </w:rPr>
            </w:pPr>
            <w:r w:rsidRPr="00DE6950">
              <w:rPr>
                <w:color w:val="000000"/>
                <w:lang w:val="en-US"/>
              </w:rPr>
              <w:t>38%</w:t>
            </w:r>
          </w:p>
        </w:tc>
        <w:tc>
          <w:tcPr>
            <w:tcW w:w="0" w:type="auto"/>
            <w:tcBorders>
              <w:top w:val="single" w:sz="4" w:space="0" w:color="auto"/>
              <w:left w:val="single" w:sz="8" w:space="0" w:color="auto"/>
              <w:bottom w:val="single" w:sz="4" w:space="0" w:color="auto"/>
              <w:right w:val="single" w:sz="4" w:space="0" w:color="auto"/>
            </w:tcBorders>
            <w:shd w:val="clear" w:color="auto" w:fill="auto"/>
            <w:noWrap/>
            <w:vAlign w:val="bottom"/>
          </w:tcPr>
          <w:p w14:paraId="630F92B5" w14:textId="1ADC39DE" w:rsidR="000F0969" w:rsidRPr="00DE6950" w:rsidRDefault="000F0969" w:rsidP="00B33BD5">
            <w:pPr>
              <w:spacing w:after="0"/>
              <w:jc w:val="center"/>
              <w:rPr>
                <w:color w:val="000000"/>
                <w:lang w:val="en-US"/>
              </w:rPr>
            </w:pPr>
            <w:r w:rsidRPr="00DE6950">
              <w:rPr>
                <w:color w:val="000000"/>
                <w:lang w:val="en-US"/>
              </w:rPr>
              <w:t>48%</w:t>
            </w:r>
          </w:p>
        </w:tc>
      </w:tr>
      <w:tr w:rsidR="000F0969" w:rsidRPr="00DE6950" w14:paraId="60D8C12D" w14:textId="77777777" w:rsidTr="005A2EEF">
        <w:trPr>
          <w:trHeight w:val="345"/>
          <w:jc w:val="center"/>
        </w:trPr>
        <w:tc>
          <w:tcPr>
            <w:tcW w:w="0" w:type="auto"/>
            <w:tcBorders>
              <w:top w:val="single" w:sz="4" w:space="0" w:color="auto"/>
              <w:left w:val="single" w:sz="8" w:space="0" w:color="auto"/>
              <w:bottom w:val="single" w:sz="8" w:space="0" w:color="auto"/>
              <w:right w:val="nil"/>
            </w:tcBorders>
            <w:shd w:val="clear" w:color="auto" w:fill="auto"/>
            <w:noWrap/>
            <w:vAlign w:val="bottom"/>
          </w:tcPr>
          <w:p w14:paraId="34E65F21" w14:textId="33AF9470" w:rsidR="000F0969" w:rsidRPr="00DE6950" w:rsidRDefault="000F0969" w:rsidP="00B33BD5">
            <w:pPr>
              <w:spacing w:after="0"/>
              <w:jc w:val="center"/>
              <w:rPr>
                <w:b/>
                <w:bCs/>
                <w:color w:val="000000"/>
                <w:lang w:val="en-US"/>
              </w:rPr>
            </w:pPr>
            <w:r w:rsidRPr="00DE6950">
              <w:rPr>
                <w:b/>
                <w:bCs/>
                <w:color w:val="000000"/>
                <w:lang w:val="en-US"/>
              </w:rPr>
              <w:t>21.2 dBm - 80%</w:t>
            </w:r>
          </w:p>
        </w:tc>
        <w:tc>
          <w:tcPr>
            <w:tcW w:w="0" w:type="auto"/>
            <w:tcBorders>
              <w:top w:val="single" w:sz="4" w:space="0" w:color="auto"/>
              <w:left w:val="single" w:sz="8" w:space="0" w:color="auto"/>
              <w:bottom w:val="single" w:sz="8" w:space="0" w:color="auto"/>
              <w:right w:val="single" w:sz="4" w:space="0" w:color="auto"/>
            </w:tcBorders>
            <w:shd w:val="clear" w:color="auto" w:fill="auto"/>
            <w:noWrap/>
            <w:vAlign w:val="bottom"/>
          </w:tcPr>
          <w:p w14:paraId="04DC532D" w14:textId="0DA4BE96" w:rsidR="000F0969" w:rsidRPr="00DE6950" w:rsidRDefault="000F0969" w:rsidP="00B33BD5">
            <w:pPr>
              <w:spacing w:after="0"/>
              <w:jc w:val="center"/>
              <w:rPr>
                <w:color w:val="000000"/>
                <w:lang w:val="en-US"/>
              </w:rPr>
            </w:pPr>
            <w:r w:rsidRPr="00DE6950">
              <w:rPr>
                <w:color w:val="000000"/>
                <w:lang w:val="en-US"/>
              </w:rPr>
              <w:t>13%</w:t>
            </w:r>
          </w:p>
        </w:tc>
        <w:tc>
          <w:tcPr>
            <w:tcW w:w="0" w:type="auto"/>
            <w:tcBorders>
              <w:top w:val="single" w:sz="4" w:space="0" w:color="auto"/>
              <w:left w:val="single" w:sz="8" w:space="0" w:color="auto"/>
              <w:bottom w:val="single" w:sz="8" w:space="0" w:color="auto"/>
              <w:right w:val="single" w:sz="4" w:space="0" w:color="auto"/>
            </w:tcBorders>
            <w:shd w:val="clear" w:color="auto" w:fill="auto"/>
            <w:noWrap/>
            <w:vAlign w:val="bottom"/>
          </w:tcPr>
          <w:p w14:paraId="136FA531" w14:textId="0430382B" w:rsidR="000F0969" w:rsidRPr="00DE6950" w:rsidRDefault="000F0969" w:rsidP="00B33BD5">
            <w:pPr>
              <w:spacing w:after="0"/>
              <w:jc w:val="center"/>
              <w:rPr>
                <w:color w:val="000000"/>
                <w:lang w:val="en-US"/>
              </w:rPr>
            </w:pPr>
            <w:r w:rsidRPr="00DE6950">
              <w:rPr>
                <w:color w:val="000000"/>
                <w:lang w:val="en-US"/>
              </w:rPr>
              <w:t>32%</w:t>
            </w:r>
          </w:p>
        </w:tc>
        <w:tc>
          <w:tcPr>
            <w:tcW w:w="0" w:type="auto"/>
            <w:tcBorders>
              <w:top w:val="single" w:sz="4" w:space="0" w:color="auto"/>
              <w:left w:val="single" w:sz="8" w:space="0" w:color="auto"/>
              <w:bottom w:val="single" w:sz="8" w:space="0" w:color="auto"/>
              <w:right w:val="single" w:sz="4" w:space="0" w:color="auto"/>
            </w:tcBorders>
            <w:shd w:val="clear" w:color="auto" w:fill="auto"/>
            <w:noWrap/>
            <w:vAlign w:val="bottom"/>
          </w:tcPr>
          <w:p w14:paraId="3D20F2FC" w14:textId="48E77B86" w:rsidR="000F0969" w:rsidRPr="00DE6950" w:rsidRDefault="000F0969" w:rsidP="00B33BD5">
            <w:pPr>
              <w:spacing w:after="0"/>
              <w:jc w:val="center"/>
              <w:rPr>
                <w:color w:val="000000"/>
                <w:lang w:val="en-US"/>
              </w:rPr>
            </w:pPr>
            <w:r w:rsidRPr="00DE6950">
              <w:rPr>
                <w:color w:val="000000"/>
                <w:lang w:val="en-US"/>
              </w:rPr>
              <w:t>46%</w:t>
            </w:r>
          </w:p>
        </w:tc>
        <w:tc>
          <w:tcPr>
            <w:tcW w:w="0" w:type="auto"/>
            <w:tcBorders>
              <w:top w:val="single" w:sz="4" w:space="0" w:color="auto"/>
              <w:left w:val="single" w:sz="8" w:space="0" w:color="auto"/>
              <w:bottom w:val="single" w:sz="8" w:space="0" w:color="auto"/>
              <w:right w:val="single" w:sz="4" w:space="0" w:color="auto"/>
            </w:tcBorders>
            <w:shd w:val="clear" w:color="auto" w:fill="auto"/>
            <w:noWrap/>
            <w:vAlign w:val="bottom"/>
          </w:tcPr>
          <w:p w14:paraId="34169181" w14:textId="737A9C78" w:rsidR="000F0969" w:rsidRPr="00DE6950" w:rsidRDefault="000F0969" w:rsidP="00B33BD5">
            <w:pPr>
              <w:spacing w:after="0"/>
              <w:jc w:val="center"/>
              <w:rPr>
                <w:color w:val="000000"/>
                <w:lang w:val="en-US"/>
              </w:rPr>
            </w:pPr>
            <w:r w:rsidRPr="00DE6950">
              <w:rPr>
                <w:color w:val="000000"/>
                <w:lang w:val="en-US"/>
              </w:rPr>
              <w:t>55%</w:t>
            </w:r>
          </w:p>
        </w:tc>
      </w:tr>
    </w:tbl>
    <w:p w14:paraId="24A8FB30" w14:textId="02CEFE66" w:rsidR="00490604" w:rsidRDefault="00490604" w:rsidP="005A2EEF">
      <w:pPr>
        <w:jc w:val="both"/>
        <w:rPr>
          <w:lang w:val="en-US"/>
        </w:rPr>
      </w:pPr>
    </w:p>
    <w:p w14:paraId="533F579C" w14:textId="33A2DF08" w:rsidR="009B2FAB" w:rsidRDefault="005A2EEF" w:rsidP="005A2EEF">
      <w:pPr>
        <w:jc w:val="both"/>
        <w:rPr>
          <w:lang w:val="en-US"/>
        </w:rPr>
      </w:pPr>
      <w:r>
        <w:rPr>
          <w:lang w:val="en-US"/>
        </w:rPr>
        <w:t xml:space="preserve">Also in this case, we only </w:t>
      </w:r>
      <w:r>
        <w:t>considered 20MHz resource allocation. Increasing the BW allocation will make the system more sensitive to the need of higher EIRP, especially if high throughput is required.</w:t>
      </w:r>
    </w:p>
    <w:p w14:paraId="41831494" w14:textId="49D1E340" w:rsidR="001B03AB" w:rsidRDefault="001B03AB" w:rsidP="001B03AB">
      <w:pPr>
        <w:pStyle w:val="Heading3"/>
        <w:rPr>
          <w:lang w:val="en-US"/>
        </w:rPr>
      </w:pPr>
      <w:r>
        <w:rPr>
          <w:lang w:val="en-US"/>
        </w:rPr>
        <w:t xml:space="preserve">Results </w:t>
      </w:r>
      <w:proofErr w:type="spellStart"/>
      <w:r>
        <w:rPr>
          <w:lang w:val="en-US"/>
        </w:rPr>
        <w:t>UMa</w:t>
      </w:r>
      <w:proofErr w:type="spellEnd"/>
    </w:p>
    <w:p w14:paraId="03C9FBE2" w14:textId="41F052CF" w:rsidR="00E62E97" w:rsidRDefault="001B03AB" w:rsidP="005A2EEF">
      <w:pPr>
        <w:jc w:val="both"/>
        <w:rPr>
          <w:lang w:val="en-US"/>
        </w:rPr>
      </w:pPr>
      <w:r>
        <w:rPr>
          <w:lang w:val="en-US"/>
        </w:rPr>
        <w:t xml:space="preserve">In this section, </w:t>
      </w:r>
      <w:proofErr w:type="spellStart"/>
      <w:r>
        <w:rPr>
          <w:lang w:val="en-US"/>
        </w:rPr>
        <w:t>UMa</w:t>
      </w:r>
      <w:proofErr w:type="spellEnd"/>
      <w:r>
        <w:rPr>
          <w:lang w:val="en-US"/>
        </w:rPr>
        <w:t xml:space="preserve"> scenario</w:t>
      </w:r>
      <w:r w:rsidR="008E54B5">
        <w:rPr>
          <w:lang w:val="en-US"/>
        </w:rPr>
        <w:t xml:space="preserve"> is discussed</w:t>
      </w:r>
      <w:r>
        <w:rPr>
          <w:lang w:val="en-US"/>
        </w:rPr>
        <w:t xml:space="preserve">. The analysis </w:t>
      </w:r>
      <w:r w:rsidR="00004873">
        <w:rPr>
          <w:lang w:val="en-US"/>
        </w:rPr>
        <w:t>is</w:t>
      </w:r>
      <w:r>
        <w:rPr>
          <w:lang w:val="en-US"/>
        </w:rPr>
        <w:t xml:space="preserve"> </w:t>
      </w:r>
      <w:proofErr w:type="gramStart"/>
      <w:r>
        <w:rPr>
          <w:lang w:val="en-US"/>
        </w:rPr>
        <w:t>similar to</w:t>
      </w:r>
      <w:proofErr w:type="gramEnd"/>
      <w:r>
        <w:rPr>
          <w:lang w:val="en-US"/>
        </w:rPr>
        <w:t xml:space="preserve"> </w:t>
      </w:r>
      <w:proofErr w:type="spellStart"/>
      <w:r>
        <w:rPr>
          <w:lang w:val="en-US"/>
        </w:rPr>
        <w:t>UMi</w:t>
      </w:r>
      <w:proofErr w:type="spellEnd"/>
      <w:r>
        <w:rPr>
          <w:lang w:val="en-US"/>
        </w:rPr>
        <w:t xml:space="preserve"> but based on </w:t>
      </w:r>
      <w:proofErr w:type="spellStart"/>
      <w:r>
        <w:rPr>
          <w:lang w:val="en-US"/>
        </w:rPr>
        <w:t>UMa</w:t>
      </w:r>
      <w:proofErr w:type="spellEnd"/>
      <w:r>
        <w:rPr>
          <w:lang w:val="en-US"/>
        </w:rPr>
        <w:t xml:space="preserve"> deployment assumptions.</w:t>
      </w:r>
    </w:p>
    <w:p w14:paraId="7946F4EE" w14:textId="12F1D1F1" w:rsidR="001B03AB" w:rsidRDefault="00BB4E6C" w:rsidP="005A2EEF">
      <w:pPr>
        <w:jc w:val="both"/>
        <w:rPr>
          <w:lang w:val="en-US"/>
        </w:rPr>
      </w:pPr>
      <w:r>
        <w:rPr>
          <w:lang w:val="en-US"/>
        </w:rPr>
        <w:fldChar w:fldCharType="begin"/>
      </w:r>
      <w:r>
        <w:rPr>
          <w:lang w:val="en-US"/>
        </w:rPr>
        <w:instrText xml:space="preserve"> REF _Ref503778101 \h </w:instrText>
      </w:r>
      <w:r w:rsidR="003963C4">
        <w:rPr>
          <w:lang w:val="en-US"/>
        </w:rPr>
        <w:instrText xml:space="preserve"> \* MERGEFORMAT </w:instrText>
      </w:r>
      <w:r>
        <w:rPr>
          <w:lang w:val="en-US"/>
        </w:rPr>
      </w:r>
      <w:r>
        <w:rPr>
          <w:lang w:val="en-US"/>
        </w:rPr>
        <w:fldChar w:fldCharType="separate"/>
      </w:r>
      <w:r w:rsidR="002A1E25">
        <w:t xml:space="preserve">Figure </w:t>
      </w:r>
      <w:r w:rsidR="002A1E25">
        <w:rPr>
          <w:noProof/>
        </w:rPr>
        <w:t>5</w:t>
      </w:r>
      <w:r>
        <w:rPr>
          <w:lang w:val="en-US"/>
        </w:rPr>
        <w:fldChar w:fldCharType="end"/>
      </w:r>
      <w:r>
        <w:rPr>
          <w:lang w:val="en-US"/>
        </w:rPr>
        <w:t xml:space="preserve"> </w:t>
      </w:r>
      <w:r w:rsidR="001B03AB">
        <w:rPr>
          <w:lang w:val="en-US"/>
        </w:rPr>
        <w:t>shows a comparison between SINR CDFs for two different UE peak EIRP values</w:t>
      </w:r>
      <w:r w:rsidR="001B03AB" w:rsidRPr="009C042B">
        <w:rPr>
          <w:lang w:val="en-US"/>
        </w:rPr>
        <w:t>, i.e.</w:t>
      </w:r>
      <w:r w:rsidR="001B03AB">
        <w:rPr>
          <w:i/>
          <w:lang w:val="en-US"/>
        </w:rPr>
        <w:t xml:space="preserve"> </w:t>
      </w:r>
      <w:r w:rsidR="001B03AB">
        <w:rPr>
          <w:lang w:val="en-US"/>
        </w:rPr>
        <w:t>21.2 dBm and 25.2 dBm, when all UEs are outdoor</w:t>
      </w:r>
      <w:r w:rsidR="00765F17">
        <w:rPr>
          <w:lang w:val="en-US"/>
        </w:rPr>
        <w:t xml:space="preserve"> while </w:t>
      </w:r>
      <w:r w:rsidR="00765F17">
        <w:rPr>
          <w:lang w:val="en-US"/>
        </w:rPr>
        <w:fldChar w:fldCharType="begin"/>
      </w:r>
      <w:r w:rsidR="00765F17">
        <w:rPr>
          <w:lang w:val="en-US"/>
        </w:rPr>
        <w:instrText xml:space="preserve"> REF _Ref503433826 \h </w:instrText>
      </w:r>
      <w:r w:rsidR="003B0886">
        <w:rPr>
          <w:lang w:val="en-US"/>
        </w:rPr>
        <w:instrText xml:space="preserve"> \* MERGEFORMAT </w:instrText>
      </w:r>
      <w:r w:rsidR="00765F17">
        <w:rPr>
          <w:lang w:val="en-US"/>
        </w:rPr>
      </w:r>
      <w:r w:rsidR="00765F17">
        <w:rPr>
          <w:lang w:val="en-US"/>
        </w:rPr>
        <w:fldChar w:fldCharType="separate"/>
      </w:r>
      <w:r w:rsidR="002A1E25">
        <w:t xml:space="preserve">Figure </w:t>
      </w:r>
      <w:r w:rsidR="002A1E25">
        <w:rPr>
          <w:noProof/>
        </w:rPr>
        <w:t>6</w:t>
      </w:r>
      <w:r w:rsidR="00765F17">
        <w:rPr>
          <w:lang w:val="en-US"/>
        </w:rPr>
        <w:fldChar w:fldCharType="end"/>
      </w:r>
      <w:r w:rsidR="004072D3">
        <w:rPr>
          <w:lang w:val="en-US"/>
        </w:rPr>
        <w:t xml:space="preserve"> and </w:t>
      </w:r>
      <w:r w:rsidR="004072D3">
        <w:rPr>
          <w:lang w:val="en-US"/>
        </w:rPr>
        <w:fldChar w:fldCharType="begin"/>
      </w:r>
      <w:r w:rsidR="004072D3">
        <w:rPr>
          <w:lang w:val="en-US"/>
        </w:rPr>
        <w:instrText xml:space="preserve"> REF _Ref503781346 \h </w:instrText>
      </w:r>
      <w:r w:rsidR="005A2EEF">
        <w:rPr>
          <w:lang w:val="en-US"/>
        </w:rPr>
        <w:instrText xml:space="preserve"> \* MERGEFORMAT </w:instrText>
      </w:r>
      <w:r w:rsidR="004072D3">
        <w:rPr>
          <w:lang w:val="en-US"/>
        </w:rPr>
      </w:r>
      <w:r w:rsidR="004072D3">
        <w:rPr>
          <w:lang w:val="en-US"/>
        </w:rPr>
        <w:fldChar w:fldCharType="separate"/>
      </w:r>
      <w:r w:rsidR="002A1E25">
        <w:t xml:space="preserve">Figure </w:t>
      </w:r>
      <w:r w:rsidR="002A1E25">
        <w:rPr>
          <w:noProof/>
        </w:rPr>
        <w:t>7</w:t>
      </w:r>
      <w:r w:rsidR="004072D3">
        <w:rPr>
          <w:lang w:val="en-US"/>
        </w:rPr>
        <w:fldChar w:fldCharType="end"/>
      </w:r>
      <w:r w:rsidR="00765F17">
        <w:rPr>
          <w:lang w:val="en-US"/>
        </w:rPr>
        <w:t xml:space="preserve"> </w:t>
      </w:r>
      <w:r w:rsidR="004072D3">
        <w:rPr>
          <w:lang w:val="en-US"/>
        </w:rPr>
        <w:t>are</w:t>
      </w:r>
      <w:r w:rsidR="00765F17">
        <w:rPr>
          <w:lang w:val="en-US"/>
        </w:rPr>
        <w:t xml:space="preserve"> for the case</w:t>
      </w:r>
      <w:r w:rsidR="004072D3">
        <w:rPr>
          <w:lang w:val="en-US"/>
        </w:rPr>
        <w:t>s</w:t>
      </w:r>
      <w:r w:rsidR="00765F17">
        <w:rPr>
          <w:lang w:val="en-US"/>
        </w:rPr>
        <w:t xml:space="preserve"> when 20% </w:t>
      </w:r>
      <w:r w:rsidR="004072D3">
        <w:rPr>
          <w:lang w:val="en-US"/>
        </w:rPr>
        <w:t xml:space="preserve">and 80% </w:t>
      </w:r>
      <w:r w:rsidR="00765F17">
        <w:rPr>
          <w:lang w:val="en-US"/>
        </w:rPr>
        <w:t>of UEs</w:t>
      </w:r>
      <w:r w:rsidR="005A2EEF">
        <w:rPr>
          <w:lang w:val="en-US"/>
        </w:rPr>
        <w:t xml:space="preserve"> </w:t>
      </w:r>
      <w:r w:rsidR="00765F17">
        <w:rPr>
          <w:lang w:val="en-US"/>
        </w:rPr>
        <w:t>are indoor</w:t>
      </w:r>
      <w:r w:rsidR="005A2EEF">
        <w:rPr>
          <w:lang w:val="en-US"/>
        </w:rPr>
        <w:t>, respectively</w:t>
      </w:r>
      <w:r w:rsidR="00765F17">
        <w:rPr>
          <w:lang w:val="en-US"/>
        </w:rPr>
        <w:t>.</w:t>
      </w:r>
      <w:r w:rsidR="003963C4">
        <w:rPr>
          <w:lang w:val="en-US"/>
        </w:rPr>
        <w:t xml:space="preserve"> </w:t>
      </w:r>
      <w:r w:rsidR="003963C4">
        <w:rPr>
          <w:lang w:val="en-US"/>
        </w:rPr>
        <w:br/>
      </w:r>
      <w:r w:rsidR="001B03AB">
        <w:rPr>
          <w:lang w:val="en-US"/>
        </w:rPr>
        <w:t xml:space="preserve">Such differences are summarized in </w:t>
      </w:r>
      <w:r w:rsidR="00AA7466">
        <w:rPr>
          <w:lang w:val="en-US"/>
        </w:rPr>
        <w:t>the following Tables.</w:t>
      </w:r>
    </w:p>
    <w:p w14:paraId="155C929B" w14:textId="50118B4D" w:rsidR="00004873" w:rsidRPr="001B03AB" w:rsidRDefault="00004873" w:rsidP="005A2EEF">
      <w:pPr>
        <w:jc w:val="both"/>
        <w:rPr>
          <w:lang w:val="en-US"/>
        </w:rPr>
      </w:pPr>
      <w:r>
        <w:rPr>
          <w:lang w:val="en-US"/>
        </w:rPr>
        <w:t xml:space="preserve">The same observations made for </w:t>
      </w:r>
      <w:proofErr w:type="spellStart"/>
      <w:r>
        <w:rPr>
          <w:lang w:val="en-US"/>
        </w:rPr>
        <w:t>UMi</w:t>
      </w:r>
      <w:proofErr w:type="spellEnd"/>
      <w:r>
        <w:rPr>
          <w:lang w:val="en-US"/>
        </w:rPr>
        <w:t xml:space="preserve"> case appl</w:t>
      </w:r>
      <w:r w:rsidR="00BB4E6C">
        <w:rPr>
          <w:lang w:val="en-US"/>
        </w:rPr>
        <w:t xml:space="preserve">y </w:t>
      </w:r>
      <w:r>
        <w:rPr>
          <w:lang w:val="en-US"/>
        </w:rPr>
        <w:t xml:space="preserve">here. </w:t>
      </w:r>
    </w:p>
    <w:p w14:paraId="5AD16A90" w14:textId="7BC04FB3" w:rsidR="001B03AB" w:rsidRDefault="001B03AB" w:rsidP="00AA7466">
      <w:pPr>
        <w:jc w:val="center"/>
      </w:pPr>
      <w:r w:rsidRPr="001B03AB">
        <w:rPr>
          <w:noProof/>
          <w:lang w:val="en-US"/>
        </w:rPr>
        <w:lastRenderedPageBreak/>
        <w:drawing>
          <wp:inline distT="0" distB="0" distL="0" distR="0" wp14:anchorId="1B00CAAD" wp14:editId="2B1A7831">
            <wp:extent cx="4882896" cy="3657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82896" cy="3657600"/>
                    </a:xfrm>
                    <a:prstGeom prst="rect">
                      <a:avLst/>
                    </a:prstGeom>
                    <a:noFill/>
                    <a:ln>
                      <a:noFill/>
                    </a:ln>
                  </pic:spPr>
                </pic:pic>
              </a:graphicData>
            </a:graphic>
          </wp:inline>
        </w:drawing>
      </w:r>
    </w:p>
    <w:p w14:paraId="3B2B956D" w14:textId="31E285A2" w:rsidR="001B03AB" w:rsidRDefault="001B03AB" w:rsidP="00765F17">
      <w:pPr>
        <w:pStyle w:val="Caption"/>
        <w:jc w:val="center"/>
      </w:pPr>
      <w:bookmarkStart w:id="14" w:name="_Ref503778101"/>
      <w:bookmarkStart w:id="15" w:name="_Ref503433782"/>
      <w:r>
        <w:t xml:space="preserve">Figure </w:t>
      </w:r>
      <w:r w:rsidR="0057194A">
        <w:fldChar w:fldCharType="begin"/>
      </w:r>
      <w:r w:rsidR="0057194A">
        <w:instrText xml:space="preserve"> SEQ Figure \* ARABIC </w:instrText>
      </w:r>
      <w:r w:rsidR="0057194A">
        <w:fldChar w:fldCharType="separate"/>
      </w:r>
      <w:r w:rsidR="002A1E25">
        <w:rPr>
          <w:noProof/>
        </w:rPr>
        <w:t>5</w:t>
      </w:r>
      <w:r w:rsidR="0057194A">
        <w:fldChar w:fldCharType="end"/>
      </w:r>
      <w:bookmarkEnd w:id="14"/>
      <w:bookmarkEnd w:id="15"/>
      <w:r>
        <w:t xml:space="preserve">. SINR CDF comparison between UE peak EIRP 21.2 dBm (continuous line) and UE peak EIRP 25.2 dBm (dashed line) for different ISD values – all UEs are outdoor – </w:t>
      </w:r>
      <w:proofErr w:type="spellStart"/>
      <w:r w:rsidR="00C712DF">
        <w:t>UMa</w:t>
      </w:r>
      <w:proofErr w:type="spellEnd"/>
    </w:p>
    <w:p w14:paraId="34F03D2C" w14:textId="77777777" w:rsidR="001B03AB" w:rsidRDefault="001B03AB" w:rsidP="001B03AB">
      <w:pPr>
        <w:keepNext/>
        <w:jc w:val="center"/>
      </w:pPr>
      <w:r w:rsidRPr="001B03AB">
        <w:rPr>
          <w:noProof/>
        </w:rPr>
        <w:drawing>
          <wp:inline distT="0" distB="0" distL="0" distR="0" wp14:anchorId="61D1C1A4" wp14:editId="4CF7F373">
            <wp:extent cx="4882896" cy="3657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82896" cy="3657600"/>
                    </a:xfrm>
                    <a:prstGeom prst="rect">
                      <a:avLst/>
                    </a:prstGeom>
                    <a:noFill/>
                    <a:ln>
                      <a:noFill/>
                    </a:ln>
                  </pic:spPr>
                </pic:pic>
              </a:graphicData>
            </a:graphic>
          </wp:inline>
        </w:drawing>
      </w:r>
    </w:p>
    <w:p w14:paraId="25DED6A8" w14:textId="7636488D" w:rsidR="001B03AB" w:rsidRDefault="001B03AB" w:rsidP="001B03AB">
      <w:pPr>
        <w:pStyle w:val="Caption"/>
        <w:jc w:val="center"/>
      </w:pPr>
      <w:bookmarkStart w:id="16" w:name="_Ref503433826"/>
      <w:r>
        <w:t xml:space="preserve">Figure </w:t>
      </w:r>
      <w:r w:rsidR="0057194A">
        <w:fldChar w:fldCharType="begin"/>
      </w:r>
      <w:r w:rsidR="0057194A">
        <w:instrText xml:space="preserve"> SEQ Figure \* ARABIC </w:instrText>
      </w:r>
      <w:r w:rsidR="0057194A">
        <w:fldChar w:fldCharType="separate"/>
      </w:r>
      <w:r w:rsidR="002A1E25">
        <w:rPr>
          <w:noProof/>
        </w:rPr>
        <w:t>6</w:t>
      </w:r>
      <w:r w:rsidR="0057194A">
        <w:fldChar w:fldCharType="end"/>
      </w:r>
      <w:bookmarkEnd w:id="16"/>
      <w:r>
        <w:t xml:space="preserve">. SINR CDF comparison between UE peak EIRP 21.2 dBm (continuous line) and UE peak EIRP 25.2 dBm (dashed line) for different ISD values – 20% of UEs are indoor – </w:t>
      </w:r>
      <w:proofErr w:type="spellStart"/>
      <w:r>
        <w:t>U</w:t>
      </w:r>
      <w:r w:rsidR="00D359D9">
        <w:t>M</w:t>
      </w:r>
      <w:r>
        <w:t>a</w:t>
      </w:r>
      <w:proofErr w:type="spellEnd"/>
    </w:p>
    <w:p w14:paraId="2C2BC17D" w14:textId="38BA4738" w:rsidR="00D359D9" w:rsidRDefault="00745310" w:rsidP="00B33BD5">
      <w:pPr>
        <w:keepNext/>
        <w:jc w:val="center"/>
      </w:pPr>
      <w:r w:rsidRPr="00745310">
        <w:rPr>
          <w:noProof/>
        </w:rPr>
        <w:lastRenderedPageBreak/>
        <w:drawing>
          <wp:inline distT="0" distB="0" distL="0" distR="0" wp14:anchorId="1B822A33" wp14:editId="072B924A">
            <wp:extent cx="4873752" cy="3657600"/>
            <wp:effectExtent l="0" t="0" r="317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73752" cy="3657600"/>
                    </a:xfrm>
                    <a:prstGeom prst="rect">
                      <a:avLst/>
                    </a:prstGeom>
                    <a:noFill/>
                    <a:ln>
                      <a:noFill/>
                    </a:ln>
                  </pic:spPr>
                </pic:pic>
              </a:graphicData>
            </a:graphic>
          </wp:inline>
        </w:drawing>
      </w:r>
    </w:p>
    <w:p w14:paraId="542A078E" w14:textId="5A5CCCEF" w:rsidR="00D359D9" w:rsidRDefault="00D359D9" w:rsidP="00B33BD5">
      <w:pPr>
        <w:pStyle w:val="Caption"/>
        <w:jc w:val="center"/>
      </w:pPr>
      <w:bookmarkStart w:id="17" w:name="_Ref503781346"/>
      <w:r>
        <w:t xml:space="preserve">Figure </w:t>
      </w:r>
      <w:r>
        <w:fldChar w:fldCharType="begin"/>
      </w:r>
      <w:r>
        <w:instrText xml:space="preserve"> SEQ Figure \* ARABIC </w:instrText>
      </w:r>
      <w:r>
        <w:fldChar w:fldCharType="separate"/>
      </w:r>
      <w:r w:rsidR="002A1E25">
        <w:rPr>
          <w:noProof/>
        </w:rPr>
        <w:t>7</w:t>
      </w:r>
      <w:r>
        <w:fldChar w:fldCharType="end"/>
      </w:r>
      <w:bookmarkEnd w:id="17"/>
      <w:r>
        <w:t xml:space="preserve">. SINR CDF comparison between UE peak EIRP 21.2 dBm (continuous line) and UE peak EIRP 25.2 dBm (dashed line) for different ISD values – 80% of UEs are indoor – </w:t>
      </w:r>
      <w:proofErr w:type="spellStart"/>
      <w:r>
        <w:t>UMa</w:t>
      </w:r>
      <w:proofErr w:type="spellEnd"/>
    </w:p>
    <w:p w14:paraId="12EFF157" w14:textId="77777777" w:rsidR="00D359D9" w:rsidRPr="009C042B" w:rsidRDefault="00D359D9" w:rsidP="00B33BD5">
      <w:pPr>
        <w:jc w:val="center"/>
      </w:pPr>
    </w:p>
    <w:p w14:paraId="699CF222" w14:textId="1866CDB0" w:rsidR="00765F17" w:rsidRDefault="00765F17" w:rsidP="00B33BD5">
      <w:pPr>
        <w:jc w:val="center"/>
      </w:pPr>
    </w:p>
    <w:p w14:paraId="04373019" w14:textId="2E4294AB" w:rsidR="00BC5BA0" w:rsidRDefault="00BC5BA0" w:rsidP="00B33BD5">
      <w:pPr>
        <w:pStyle w:val="Caption"/>
        <w:keepNext/>
        <w:jc w:val="center"/>
      </w:pPr>
      <w:r>
        <w:t xml:space="preserve">Table </w:t>
      </w:r>
      <w:r>
        <w:fldChar w:fldCharType="begin"/>
      </w:r>
      <w:r>
        <w:instrText xml:space="preserve"> SEQ Table \* ARABIC </w:instrText>
      </w:r>
      <w:r>
        <w:fldChar w:fldCharType="separate"/>
      </w:r>
      <w:r w:rsidR="002A1E25">
        <w:rPr>
          <w:noProof/>
        </w:rPr>
        <w:t>7</w:t>
      </w:r>
      <w:r>
        <w:fldChar w:fldCharType="end"/>
      </w:r>
      <w:r>
        <w:t>. 50%-tile SINR loss [dB] compared to 25.2 dBm UE peak EIRP</w:t>
      </w:r>
    </w:p>
    <w:tbl>
      <w:tblPr>
        <w:tblW w:w="9356" w:type="dxa"/>
        <w:tblLook w:val="04A0" w:firstRow="1" w:lastRow="0" w:firstColumn="1" w:lastColumn="0" w:noHBand="0" w:noVBand="1"/>
      </w:tblPr>
      <w:tblGrid>
        <w:gridCol w:w="3460"/>
        <w:gridCol w:w="1360"/>
        <w:gridCol w:w="1360"/>
        <w:gridCol w:w="1360"/>
        <w:gridCol w:w="1816"/>
      </w:tblGrid>
      <w:tr w:rsidR="00BC5BA0" w:rsidRPr="00692D33" w14:paraId="036AFA43" w14:textId="77777777" w:rsidTr="00BC5BA0">
        <w:trPr>
          <w:trHeight w:val="330"/>
        </w:trPr>
        <w:tc>
          <w:tcPr>
            <w:tcW w:w="3460" w:type="dxa"/>
            <w:tcBorders>
              <w:top w:val="nil"/>
              <w:left w:val="nil"/>
              <w:bottom w:val="nil"/>
              <w:right w:val="nil"/>
            </w:tcBorders>
            <w:shd w:val="clear" w:color="auto" w:fill="auto"/>
            <w:noWrap/>
            <w:vAlign w:val="bottom"/>
            <w:hideMark/>
          </w:tcPr>
          <w:p w14:paraId="2EC72473" w14:textId="77777777" w:rsidR="00BC5BA0" w:rsidRPr="00692D33" w:rsidRDefault="00BC5BA0" w:rsidP="00B33BD5">
            <w:pPr>
              <w:spacing w:after="0"/>
              <w:jc w:val="center"/>
              <w:rPr>
                <w:lang w:val="en-US"/>
              </w:rPr>
            </w:pPr>
          </w:p>
        </w:tc>
        <w:tc>
          <w:tcPr>
            <w:tcW w:w="5896" w:type="dxa"/>
            <w:gridSpan w:val="4"/>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28CE0A39" w14:textId="77777777" w:rsidR="00BC5BA0" w:rsidRPr="00692D33" w:rsidRDefault="00BC5BA0" w:rsidP="00B33BD5">
            <w:pPr>
              <w:jc w:val="center"/>
              <w:rPr>
                <w:b/>
                <w:bCs/>
                <w:color w:val="000000"/>
              </w:rPr>
            </w:pPr>
            <w:r w:rsidRPr="00692D33">
              <w:rPr>
                <w:b/>
                <w:bCs/>
                <w:color w:val="000000"/>
              </w:rPr>
              <w:t>50%-tile SINR loss compared to 25.2 dBm EIRP [dB]</w:t>
            </w:r>
          </w:p>
        </w:tc>
      </w:tr>
      <w:tr w:rsidR="00BC5BA0" w:rsidRPr="00692D33" w14:paraId="177BCAF6" w14:textId="77777777" w:rsidTr="00BC5BA0">
        <w:trPr>
          <w:trHeight w:val="330"/>
        </w:trPr>
        <w:tc>
          <w:tcPr>
            <w:tcW w:w="3460" w:type="dxa"/>
            <w:tcBorders>
              <w:top w:val="single" w:sz="8" w:space="0" w:color="auto"/>
              <w:left w:val="single" w:sz="8" w:space="0" w:color="auto"/>
              <w:bottom w:val="single" w:sz="8" w:space="0" w:color="auto"/>
              <w:right w:val="nil"/>
            </w:tcBorders>
            <w:shd w:val="clear" w:color="auto" w:fill="auto"/>
            <w:noWrap/>
            <w:vAlign w:val="bottom"/>
            <w:hideMark/>
          </w:tcPr>
          <w:p w14:paraId="3A0F8FBE" w14:textId="77777777" w:rsidR="00BC5BA0" w:rsidRPr="00692D33" w:rsidRDefault="00BC5BA0" w:rsidP="00B33BD5">
            <w:pPr>
              <w:jc w:val="center"/>
              <w:rPr>
                <w:b/>
                <w:bCs/>
                <w:color w:val="000000"/>
              </w:rPr>
            </w:pPr>
            <w:r w:rsidRPr="00692D33">
              <w:rPr>
                <w:b/>
                <w:bCs/>
                <w:color w:val="000000"/>
              </w:rPr>
              <w:t>Max EIRP [dBm] - % indoor UE</w:t>
            </w:r>
          </w:p>
        </w:tc>
        <w:tc>
          <w:tcPr>
            <w:tcW w:w="1360" w:type="dxa"/>
            <w:tcBorders>
              <w:top w:val="nil"/>
              <w:left w:val="single" w:sz="8" w:space="0" w:color="auto"/>
              <w:bottom w:val="single" w:sz="8" w:space="0" w:color="auto"/>
              <w:right w:val="nil"/>
            </w:tcBorders>
            <w:shd w:val="clear" w:color="auto" w:fill="auto"/>
            <w:noWrap/>
            <w:vAlign w:val="bottom"/>
            <w:hideMark/>
          </w:tcPr>
          <w:p w14:paraId="020A36BB" w14:textId="77777777" w:rsidR="00BC5BA0" w:rsidRPr="00692D33" w:rsidRDefault="00BC5BA0" w:rsidP="00B33BD5">
            <w:pPr>
              <w:jc w:val="center"/>
              <w:rPr>
                <w:b/>
                <w:bCs/>
                <w:color w:val="000000"/>
              </w:rPr>
            </w:pPr>
            <w:r w:rsidRPr="00692D33">
              <w:rPr>
                <w:b/>
                <w:bCs/>
                <w:color w:val="000000"/>
              </w:rPr>
              <w:t>ISD = 200m</w:t>
            </w:r>
          </w:p>
        </w:tc>
        <w:tc>
          <w:tcPr>
            <w:tcW w:w="1360" w:type="dxa"/>
            <w:tcBorders>
              <w:top w:val="nil"/>
              <w:left w:val="single" w:sz="8" w:space="0" w:color="auto"/>
              <w:bottom w:val="single" w:sz="8" w:space="0" w:color="auto"/>
              <w:right w:val="nil"/>
            </w:tcBorders>
            <w:shd w:val="clear" w:color="auto" w:fill="auto"/>
            <w:noWrap/>
            <w:vAlign w:val="bottom"/>
            <w:hideMark/>
          </w:tcPr>
          <w:p w14:paraId="5CE25B14" w14:textId="77777777" w:rsidR="00BC5BA0" w:rsidRPr="00692D33" w:rsidRDefault="00BC5BA0" w:rsidP="00B33BD5">
            <w:pPr>
              <w:jc w:val="center"/>
              <w:rPr>
                <w:b/>
                <w:bCs/>
                <w:color w:val="000000"/>
              </w:rPr>
            </w:pPr>
            <w:r w:rsidRPr="00692D33">
              <w:rPr>
                <w:b/>
                <w:bCs/>
                <w:color w:val="000000"/>
              </w:rPr>
              <w:t>ISD = 300m</w:t>
            </w:r>
          </w:p>
        </w:tc>
        <w:tc>
          <w:tcPr>
            <w:tcW w:w="1360" w:type="dxa"/>
            <w:tcBorders>
              <w:top w:val="nil"/>
              <w:left w:val="single" w:sz="8" w:space="0" w:color="auto"/>
              <w:bottom w:val="single" w:sz="8" w:space="0" w:color="auto"/>
              <w:right w:val="nil"/>
            </w:tcBorders>
            <w:shd w:val="clear" w:color="auto" w:fill="auto"/>
            <w:noWrap/>
            <w:vAlign w:val="bottom"/>
            <w:hideMark/>
          </w:tcPr>
          <w:p w14:paraId="72CD027B" w14:textId="77777777" w:rsidR="00BC5BA0" w:rsidRPr="00692D33" w:rsidRDefault="00BC5BA0" w:rsidP="00B33BD5">
            <w:pPr>
              <w:jc w:val="center"/>
              <w:rPr>
                <w:b/>
                <w:bCs/>
                <w:color w:val="000000"/>
              </w:rPr>
            </w:pPr>
            <w:r w:rsidRPr="00692D33">
              <w:rPr>
                <w:b/>
                <w:bCs/>
                <w:color w:val="000000"/>
              </w:rPr>
              <w:t>ISD = 400m</w:t>
            </w:r>
          </w:p>
        </w:tc>
        <w:tc>
          <w:tcPr>
            <w:tcW w:w="1816" w:type="dxa"/>
            <w:tcBorders>
              <w:top w:val="nil"/>
              <w:left w:val="single" w:sz="8" w:space="0" w:color="auto"/>
              <w:bottom w:val="single" w:sz="8" w:space="0" w:color="auto"/>
              <w:right w:val="single" w:sz="8" w:space="0" w:color="auto"/>
            </w:tcBorders>
            <w:shd w:val="clear" w:color="auto" w:fill="auto"/>
            <w:noWrap/>
            <w:vAlign w:val="bottom"/>
            <w:hideMark/>
          </w:tcPr>
          <w:p w14:paraId="3DE50EF6" w14:textId="77777777" w:rsidR="00BC5BA0" w:rsidRPr="00692D33" w:rsidRDefault="00BC5BA0" w:rsidP="00B33BD5">
            <w:pPr>
              <w:jc w:val="center"/>
              <w:rPr>
                <w:b/>
                <w:bCs/>
                <w:color w:val="000000"/>
              </w:rPr>
            </w:pPr>
            <w:r w:rsidRPr="00692D33">
              <w:rPr>
                <w:b/>
                <w:bCs/>
                <w:color w:val="000000"/>
              </w:rPr>
              <w:t>ISD = 500m</w:t>
            </w:r>
          </w:p>
        </w:tc>
      </w:tr>
      <w:tr w:rsidR="00BC5BA0" w:rsidRPr="00692D33" w14:paraId="38309A39" w14:textId="77777777" w:rsidTr="009C042B">
        <w:trPr>
          <w:trHeight w:val="330"/>
        </w:trPr>
        <w:tc>
          <w:tcPr>
            <w:tcW w:w="3460" w:type="dxa"/>
            <w:tcBorders>
              <w:top w:val="nil"/>
              <w:left w:val="single" w:sz="8" w:space="0" w:color="auto"/>
              <w:bottom w:val="single" w:sz="8" w:space="0" w:color="auto"/>
              <w:right w:val="nil"/>
            </w:tcBorders>
            <w:shd w:val="clear" w:color="auto" w:fill="auto"/>
            <w:noWrap/>
            <w:vAlign w:val="center"/>
            <w:hideMark/>
          </w:tcPr>
          <w:p w14:paraId="0325FFCF" w14:textId="77777777" w:rsidR="00BC5BA0" w:rsidRPr="00692D33" w:rsidRDefault="00BC5BA0" w:rsidP="00B33BD5">
            <w:pPr>
              <w:jc w:val="center"/>
              <w:rPr>
                <w:b/>
                <w:bCs/>
                <w:color w:val="000000"/>
              </w:rPr>
            </w:pPr>
            <w:r w:rsidRPr="00692D33">
              <w:rPr>
                <w:b/>
                <w:bCs/>
                <w:color w:val="000000"/>
              </w:rPr>
              <w:t>21.2 dBm - 0%</w:t>
            </w:r>
          </w:p>
        </w:tc>
        <w:tc>
          <w:tcPr>
            <w:tcW w:w="1360" w:type="dxa"/>
            <w:tcBorders>
              <w:top w:val="nil"/>
              <w:left w:val="single" w:sz="8" w:space="0" w:color="auto"/>
              <w:bottom w:val="single" w:sz="8" w:space="0" w:color="auto"/>
              <w:right w:val="single" w:sz="4" w:space="0" w:color="auto"/>
            </w:tcBorders>
            <w:shd w:val="clear" w:color="auto" w:fill="auto"/>
            <w:noWrap/>
            <w:vAlign w:val="center"/>
            <w:hideMark/>
          </w:tcPr>
          <w:p w14:paraId="63D363C4" w14:textId="77777777" w:rsidR="00BC5BA0" w:rsidRPr="00692D33" w:rsidRDefault="00BC5BA0" w:rsidP="00B33BD5">
            <w:pPr>
              <w:jc w:val="center"/>
              <w:rPr>
                <w:color w:val="000000"/>
              </w:rPr>
            </w:pPr>
            <w:r w:rsidRPr="00692D33">
              <w:rPr>
                <w:color w:val="000000"/>
              </w:rPr>
              <w:t>0.04</w:t>
            </w:r>
          </w:p>
        </w:tc>
        <w:tc>
          <w:tcPr>
            <w:tcW w:w="1360" w:type="dxa"/>
            <w:tcBorders>
              <w:top w:val="nil"/>
              <w:left w:val="single" w:sz="8" w:space="0" w:color="auto"/>
              <w:bottom w:val="single" w:sz="8" w:space="0" w:color="auto"/>
              <w:right w:val="single" w:sz="4" w:space="0" w:color="auto"/>
            </w:tcBorders>
            <w:shd w:val="clear" w:color="auto" w:fill="auto"/>
            <w:noWrap/>
            <w:vAlign w:val="center"/>
            <w:hideMark/>
          </w:tcPr>
          <w:p w14:paraId="3FA73F8E" w14:textId="77777777" w:rsidR="00BC5BA0" w:rsidRPr="00692D33" w:rsidRDefault="00BC5BA0" w:rsidP="00B33BD5">
            <w:pPr>
              <w:jc w:val="center"/>
              <w:rPr>
                <w:color w:val="000000"/>
              </w:rPr>
            </w:pPr>
            <w:r w:rsidRPr="00692D33">
              <w:rPr>
                <w:color w:val="000000"/>
              </w:rPr>
              <w:t>0.90</w:t>
            </w:r>
          </w:p>
        </w:tc>
        <w:tc>
          <w:tcPr>
            <w:tcW w:w="1360" w:type="dxa"/>
            <w:tcBorders>
              <w:top w:val="nil"/>
              <w:left w:val="single" w:sz="8" w:space="0" w:color="auto"/>
              <w:bottom w:val="single" w:sz="8" w:space="0" w:color="auto"/>
              <w:right w:val="single" w:sz="4" w:space="0" w:color="auto"/>
            </w:tcBorders>
            <w:shd w:val="clear" w:color="auto" w:fill="auto"/>
            <w:noWrap/>
            <w:vAlign w:val="center"/>
            <w:hideMark/>
          </w:tcPr>
          <w:p w14:paraId="0E3E03E7" w14:textId="77777777" w:rsidR="00BC5BA0" w:rsidRPr="00692D33" w:rsidRDefault="00BC5BA0" w:rsidP="00B33BD5">
            <w:pPr>
              <w:jc w:val="center"/>
              <w:rPr>
                <w:color w:val="000000"/>
              </w:rPr>
            </w:pPr>
            <w:r w:rsidRPr="00692D33">
              <w:rPr>
                <w:color w:val="000000"/>
              </w:rPr>
              <w:t>3.39</w:t>
            </w:r>
          </w:p>
        </w:tc>
        <w:tc>
          <w:tcPr>
            <w:tcW w:w="1816" w:type="dxa"/>
            <w:tcBorders>
              <w:top w:val="nil"/>
              <w:left w:val="single" w:sz="8" w:space="0" w:color="auto"/>
              <w:bottom w:val="single" w:sz="8" w:space="0" w:color="auto"/>
              <w:right w:val="single" w:sz="4" w:space="0" w:color="auto"/>
            </w:tcBorders>
            <w:shd w:val="clear" w:color="auto" w:fill="auto"/>
            <w:noWrap/>
            <w:vAlign w:val="center"/>
            <w:hideMark/>
          </w:tcPr>
          <w:p w14:paraId="7C287C2C" w14:textId="77777777" w:rsidR="00BC5BA0" w:rsidRPr="00692D33" w:rsidRDefault="00BC5BA0" w:rsidP="00B33BD5">
            <w:pPr>
              <w:jc w:val="center"/>
              <w:rPr>
                <w:color w:val="000000"/>
              </w:rPr>
            </w:pPr>
            <w:r w:rsidRPr="00692D33">
              <w:rPr>
                <w:color w:val="000000"/>
              </w:rPr>
              <w:t>3.85</w:t>
            </w:r>
          </w:p>
        </w:tc>
      </w:tr>
      <w:tr w:rsidR="00BC5BA0" w:rsidRPr="00692D33" w14:paraId="5D613A80" w14:textId="77777777" w:rsidTr="009C042B">
        <w:trPr>
          <w:trHeight w:val="286"/>
        </w:trPr>
        <w:tc>
          <w:tcPr>
            <w:tcW w:w="3460" w:type="dxa"/>
            <w:tcBorders>
              <w:top w:val="nil"/>
              <w:left w:val="single" w:sz="8" w:space="0" w:color="auto"/>
              <w:bottom w:val="single" w:sz="4" w:space="0" w:color="auto"/>
              <w:right w:val="nil"/>
            </w:tcBorders>
            <w:shd w:val="clear" w:color="auto" w:fill="auto"/>
            <w:noWrap/>
            <w:vAlign w:val="bottom"/>
            <w:hideMark/>
          </w:tcPr>
          <w:p w14:paraId="3B994876" w14:textId="77777777" w:rsidR="00BC5BA0" w:rsidRPr="00692D33" w:rsidRDefault="00BC5BA0" w:rsidP="00B33BD5">
            <w:pPr>
              <w:jc w:val="center"/>
              <w:rPr>
                <w:b/>
                <w:bCs/>
                <w:color w:val="000000"/>
              </w:rPr>
            </w:pPr>
            <w:r w:rsidRPr="00692D33">
              <w:rPr>
                <w:b/>
                <w:bCs/>
                <w:color w:val="000000"/>
              </w:rPr>
              <w:t>21.2 dBm - 20%</w:t>
            </w:r>
          </w:p>
        </w:tc>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027DA2D9" w14:textId="77777777" w:rsidR="00BC5BA0" w:rsidRPr="00692D33" w:rsidRDefault="00BC5BA0" w:rsidP="00B33BD5">
            <w:pPr>
              <w:jc w:val="center"/>
              <w:rPr>
                <w:color w:val="000000"/>
              </w:rPr>
            </w:pPr>
            <w:r w:rsidRPr="00692D33">
              <w:rPr>
                <w:color w:val="000000"/>
              </w:rPr>
              <w:t>0.14</w:t>
            </w:r>
          </w:p>
        </w:tc>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28DD195A" w14:textId="77777777" w:rsidR="00BC5BA0" w:rsidRPr="00692D33" w:rsidRDefault="00BC5BA0" w:rsidP="00B33BD5">
            <w:pPr>
              <w:jc w:val="center"/>
              <w:rPr>
                <w:color w:val="000000"/>
              </w:rPr>
            </w:pPr>
            <w:r w:rsidRPr="00692D33">
              <w:rPr>
                <w:color w:val="000000"/>
              </w:rPr>
              <w:t>2.57</w:t>
            </w:r>
          </w:p>
        </w:tc>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45226637" w14:textId="77777777" w:rsidR="00BC5BA0" w:rsidRPr="00692D33" w:rsidRDefault="00BC5BA0" w:rsidP="00B33BD5">
            <w:pPr>
              <w:jc w:val="center"/>
              <w:rPr>
                <w:color w:val="000000"/>
              </w:rPr>
            </w:pPr>
            <w:r w:rsidRPr="00692D33">
              <w:rPr>
                <w:color w:val="000000"/>
              </w:rPr>
              <w:t>3.80</w:t>
            </w:r>
          </w:p>
        </w:tc>
        <w:tc>
          <w:tcPr>
            <w:tcW w:w="1816" w:type="dxa"/>
            <w:tcBorders>
              <w:top w:val="nil"/>
              <w:left w:val="single" w:sz="8" w:space="0" w:color="auto"/>
              <w:bottom w:val="single" w:sz="4" w:space="0" w:color="auto"/>
              <w:right w:val="single" w:sz="4" w:space="0" w:color="auto"/>
            </w:tcBorders>
            <w:shd w:val="clear" w:color="auto" w:fill="auto"/>
            <w:noWrap/>
            <w:vAlign w:val="bottom"/>
            <w:hideMark/>
          </w:tcPr>
          <w:p w14:paraId="53B838A0" w14:textId="77777777" w:rsidR="00BC5BA0" w:rsidRPr="00692D33" w:rsidRDefault="00BC5BA0" w:rsidP="00B33BD5">
            <w:pPr>
              <w:jc w:val="center"/>
              <w:rPr>
                <w:color w:val="000000"/>
              </w:rPr>
            </w:pPr>
            <w:r w:rsidRPr="00692D33">
              <w:rPr>
                <w:color w:val="000000"/>
              </w:rPr>
              <w:t>3.89</w:t>
            </w:r>
          </w:p>
        </w:tc>
      </w:tr>
      <w:tr w:rsidR="00D359D9" w:rsidRPr="00692D33" w14:paraId="1CAE1A4B" w14:textId="77777777" w:rsidTr="009C042B">
        <w:trPr>
          <w:trHeight w:val="286"/>
        </w:trPr>
        <w:tc>
          <w:tcPr>
            <w:tcW w:w="3460" w:type="dxa"/>
            <w:tcBorders>
              <w:top w:val="single" w:sz="4" w:space="0" w:color="auto"/>
              <w:left w:val="single" w:sz="8" w:space="0" w:color="auto"/>
              <w:bottom w:val="single" w:sz="8" w:space="0" w:color="auto"/>
              <w:right w:val="nil"/>
            </w:tcBorders>
            <w:shd w:val="clear" w:color="auto" w:fill="auto"/>
            <w:noWrap/>
            <w:vAlign w:val="bottom"/>
          </w:tcPr>
          <w:p w14:paraId="61988FD2" w14:textId="42A956C5" w:rsidR="00D359D9" w:rsidRPr="00692D33" w:rsidRDefault="00D359D9" w:rsidP="00B33BD5">
            <w:pPr>
              <w:jc w:val="center"/>
              <w:rPr>
                <w:b/>
                <w:bCs/>
                <w:color w:val="000000"/>
              </w:rPr>
            </w:pPr>
            <w:r w:rsidRPr="00692D33">
              <w:rPr>
                <w:b/>
                <w:bCs/>
                <w:color w:val="000000"/>
              </w:rPr>
              <w:t>21.2 dBm - 80%</w:t>
            </w:r>
          </w:p>
        </w:tc>
        <w:tc>
          <w:tcPr>
            <w:tcW w:w="1360" w:type="dxa"/>
            <w:tcBorders>
              <w:top w:val="single" w:sz="4" w:space="0" w:color="auto"/>
              <w:left w:val="single" w:sz="8" w:space="0" w:color="auto"/>
              <w:bottom w:val="single" w:sz="8" w:space="0" w:color="auto"/>
              <w:right w:val="single" w:sz="4" w:space="0" w:color="auto"/>
            </w:tcBorders>
            <w:shd w:val="clear" w:color="auto" w:fill="auto"/>
            <w:noWrap/>
            <w:vAlign w:val="bottom"/>
          </w:tcPr>
          <w:p w14:paraId="34D2595C" w14:textId="159DC64B" w:rsidR="00D359D9" w:rsidRPr="00692D33" w:rsidRDefault="00D359D9" w:rsidP="00B33BD5">
            <w:pPr>
              <w:jc w:val="center"/>
              <w:rPr>
                <w:color w:val="000000"/>
              </w:rPr>
            </w:pPr>
            <w:r w:rsidRPr="00692D33">
              <w:rPr>
                <w:color w:val="000000"/>
              </w:rPr>
              <w:t>3.92</w:t>
            </w:r>
          </w:p>
        </w:tc>
        <w:tc>
          <w:tcPr>
            <w:tcW w:w="1360" w:type="dxa"/>
            <w:tcBorders>
              <w:top w:val="single" w:sz="4" w:space="0" w:color="auto"/>
              <w:left w:val="single" w:sz="8" w:space="0" w:color="auto"/>
              <w:bottom w:val="single" w:sz="8" w:space="0" w:color="auto"/>
              <w:right w:val="single" w:sz="4" w:space="0" w:color="auto"/>
            </w:tcBorders>
            <w:shd w:val="clear" w:color="auto" w:fill="auto"/>
            <w:noWrap/>
            <w:vAlign w:val="bottom"/>
          </w:tcPr>
          <w:p w14:paraId="04BAFD36" w14:textId="60CCEFF4" w:rsidR="00D359D9" w:rsidRPr="00692D33" w:rsidRDefault="00D359D9" w:rsidP="00B33BD5">
            <w:pPr>
              <w:jc w:val="center"/>
              <w:rPr>
                <w:color w:val="000000"/>
              </w:rPr>
            </w:pPr>
            <w:r w:rsidRPr="00692D33">
              <w:rPr>
                <w:color w:val="000000"/>
              </w:rPr>
              <w:t>3.91</w:t>
            </w:r>
          </w:p>
        </w:tc>
        <w:tc>
          <w:tcPr>
            <w:tcW w:w="1360" w:type="dxa"/>
            <w:tcBorders>
              <w:top w:val="single" w:sz="4" w:space="0" w:color="auto"/>
              <w:left w:val="single" w:sz="8" w:space="0" w:color="auto"/>
              <w:bottom w:val="single" w:sz="8" w:space="0" w:color="auto"/>
              <w:right w:val="single" w:sz="4" w:space="0" w:color="auto"/>
            </w:tcBorders>
            <w:shd w:val="clear" w:color="auto" w:fill="auto"/>
            <w:noWrap/>
            <w:vAlign w:val="bottom"/>
          </w:tcPr>
          <w:p w14:paraId="1490AB7B" w14:textId="311E5323" w:rsidR="00D359D9" w:rsidRPr="00692D33" w:rsidRDefault="00D359D9" w:rsidP="00B33BD5">
            <w:pPr>
              <w:jc w:val="center"/>
              <w:rPr>
                <w:color w:val="000000"/>
              </w:rPr>
            </w:pPr>
            <w:r w:rsidRPr="00692D33">
              <w:rPr>
                <w:color w:val="000000"/>
              </w:rPr>
              <w:t>3.96</w:t>
            </w:r>
          </w:p>
        </w:tc>
        <w:tc>
          <w:tcPr>
            <w:tcW w:w="1816" w:type="dxa"/>
            <w:tcBorders>
              <w:top w:val="single" w:sz="4" w:space="0" w:color="auto"/>
              <w:left w:val="single" w:sz="8" w:space="0" w:color="auto"/>
              <w:bottom w:val="single" w:sz="8" w:space="0" w:color="auto"/>
              <w:right w:val="single" w:sz="4" w:space="0" w:color="auto"/>
            </w:tcBorders>
            <w:shd w:val="clear" w:color="auto" w:fill="auto"/>
            <w:noWrap/>
            <w:vAlign w:val="bottom"/>
          </w:tcPr>
          <w:p w14:paraId="0D0F3D44" w14:textId="736823FA" w:rsidR="00D359D9" w:rsidRPr="00692D33" w:rsidRDefault="00D359D9" w:rsidP="00B33BD5">
            <w:pPr>
              <w:jc w:val="center"/>
              <w:rPr>
                <w:color w:val="000000"/>
              </w:rPr>
            </w:pPr>
            <w:r w:rsidRPr="00692D33">
              <w:rPr>
                <w:color w:val="000000"/>
              </w:rPr>
              <w:t>3.97</w:t>
            </w:r>
          </w:p>
        </w:tc>
      </w:tr>
    </w:tbl>
    <w:p w14:paraId="7A8B87F2" w14:textId="77777777" w:rsidR="00BC5BA0" w:rsidRPr="00692D33" w:rsidRDefault="00BC5BA0" w:rsidP="00B33BD5">
      <w:pPr>
        <w:jc w:val="center"/>
      </w:pPr>
    </w:p>
    <w:p w14:paraId="55EB36D7" w14:textId="0ED709E8" w:rsidR="00BC5BA0" w:rsidRPr="00692D33" w:rsidRDefault="00BC5BA0" w:rsidP="00B33BD5">
      <w:pPr>
        <w:pStyle w:val="Caption"/>
        <w:keepNext/>
        <w:jc w:val="center"/>
      </w:pPr>
      <w:r w:rsidRPr="00692D33">
        <w:t xml:space="preserve">Table </w:t>
      </w:r>
      <w:r w:rsidRPr="00692D33">
        <w:fldChar w:fldCharType="begin"/>
      </w:r>
      <w:r w:rsidRPr="00692D33">
        <w:instrText xml:space="preserve"> SEQ Table \* ARABIC </w:instrText>
      </w:r>
      <w:r w:rsidRPr="00692D33">
        <w:fldChar w:fldCharType="separate"/>
      </w:r>
      <w:r w:rsidR="002A1E25" w:rsidRPr="00692D33">
        <w:rPr>
          <w:noProof/>
        </w:rPr>
        <w:t>8</w:t>
      </w:r>
      <w:r w:rsidRPr="00692D33">
        <w:fldChar w:fldCharType="end"/>
      </w:r>
      <w:r w:rsidRPr="00692D33">
        <w:t>. 50%-tile throughput loss compared to 25.2 dBm UE peak EIRP</w:t>
      </w:r>
    </w:p>
    <w:tbl>
      <w:tblPr>
        <w:tblW w:w="0" w:type="auto"/>
        <w:tblLook w:val="04A0" w:firstRow="1" w:lastRow="0" w:firstColumn="1" w:lastColumn="0" w:noHBand="0" w:noVBand="1"/>
      </w:tblPr>
      <w:tblGrid>
        <w:gridCol w:w="3402"/>
        <w:gridCol w:w="1418"/>
        <w:gridCol w:w="1417"/>
        <w:gridCol w:w="1413"/>
        <w:gridCol w:w="1706"/>
      </w:tblGrid>
      <w:tr w:rsidR="00BC5BA0" w:rsidRPr="00692D33" w14:paraId="2251BED1" w14:textId="77777777" w:rsidTr="00BC5BA0">
        <w:trPr>
          <w:trHeight w:val="330"/>
        </w:trPr>
        <w:tc>
          <w:tcPr>
            <w:tcW w:w="3402" w:type="dxa"/>
            <w:tcBorders>
              <w:top w:val="nil"/>
              <w:left w:val="nil"/>
              <w:bottom w:val="single" w:sz="8" w:space="0" w:color="auto"/>
              <w:right w:val="nil"/>
            </w:tcBorders>
            <w:shd w:val="clear" w:color="auto" w:fill="auto"/>
            <w:noWrap/>
            <w:vAlign w:val="bottom"/>
            <w:hideMark/>
          </w:tcPr>
          <w:p w14:paraId="50A25379" w14:textId="33714A8A" w:rsidR="00BC5BA0" w:rsidRPr="00692D33" w:rsidRDefault="00BC5BA0" w:rsidP="00B33BD5">
            <w:pPr>
              <w:spacing w:after="0"/>
              <w:jc w:val="center"/>
              <w:rPr>
                <w:b/>
                <w:bCs/>
                <w:color w:val="000000"/>
                <w:lang w:val="en-US"/>
              </w:rPr>
            </w:pPr>
          </w:p>
        </w:tc>
        <w:tc>
          <w:tcPr>
            <w:tcW w:w="5954" w:type="dxa"/>
            <w:gridSpan w:val="4"/>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7E692231" w14:textId="77777777" w:rsidR="00BC5BA0" w:rsidRPr="00692D33" w:rsidRDefault="00BC5BA0" w:rsidP="00B33BD5">
            <w:pPr>
              <w:jc w:val="center"/>
              <w:rPr>
                <w:b/>
                <w:bCs/>
                <w:color w:val="000000"/>
              </w:rPr>
            </w:pPr>
            <w:r w:rsidRPr="00692D33">
              <w:rPr>
                <w:b/>
                <w:bCs/>
                <w:color w:val="000000"/>
              </w:rPr>
              <w:t>50%-tile throughput loss compared to 25.2 dBm EIRP</w:t>
            </w:r>
          </w:p>
        </w:tc>
      </w:tr>
      <w:tr w:rsidR="000C7DB2" w:rsidRPr="00692D33" w14:paraId="749C1A91" w14:textId="77777777" w:rsidTr="00FF38A3">
        <w:trPr>
          <w:trHeight w:val="330"/>
        </w:trPr>
        <w:tc>
          <w:tcPr>
            <w:tcW w:w="3402" w:type="dxa"/>
            <w:tcBorders>
              <w:top w:val="nil"/>
              <w:left w:val="single" w:sz="8" w:space="0" w:color="auto"/>
              <w:bottom w:val="single" w:sz="8" w:space="0" w:color="auto"/>
              <w:right w:val="nil"/>
            </w:tcBorders>
            <w:shd w:val="clear" w:color="auto" w:fill="auto"/>
            <w:noWrap/>
            <w:vAlign w:val="bottom"/>
            <w:hideMark/>
          </w:tcPr>
          <w:p w14:paraId="35122C12" w14:textId="77777777" w:rsidR="00BC5BA0" w:rsidRPr="00692D33" w:rsidRDefault="00BC5BA0" w:rsidP="00B33BD5">
            <w:pPr>
              <w:jc w:val="center"/>
              <w:rPr>
                <w:b/>
                <w:bCs/>
                <w:color w:val="000000"/>
              </w:rPr>
            </w:pPr>
            <w:r w:rsidRPr="00692D33">
              <w:rPr>
                <w:b/>
                <w:bCs/>
                <w:color w:val="000000"/>
              </w:rPr>
              <w:t>Max EIRP [dBm] - % indoor UE</w:t>
            </w:r>
          </w:p>
        </w:tc>
        <w:tc>
          <w:tcPr>
            <w:tcW w:w="1418" w:type="dxa"/>
            <w:tcBorders>
              <w:top w:val="nil"/>
              <w:left w:val="single" w:sz="8" w:space="0" w:color="auto"/>
              <w:bottom w:val="single" w:sz="8" w:space="0" w:color="auto"/>
              <w:right w:val="single" w:sz="4" w:space="0" w:color="auto"/>
            </w:tcBorders>
            <w:shd w:val="clear" w:color="auto" w:fill="auto"/>
            <w:noWrap/>
            <w:vAlign w:val="bottom"/>
            <w:hideMark/>
          </w:tcPr>
          <w:p w14:paraId="153187B5" w14:textId="77777777" w:rsidR="00BC5BA0" w:rsidRPr="00692D33" w:rsidRDefault="00BC5BA0" w:rsidP="00B33BD5">
            <w:pPr>
              <w:jc w:val="center"/>
              <w:rPr>
                <w:b/>
                <w:bCs/>
                <w:color w:val="000000"/>
              </w:rPr>
            </w:pPr>
            <w:r w:rsidRPr="00692D33">
              <w:rPr>
                <w:b/>
                <w:bCs/>
                <w:color w:val="000000"/>
              </w:rPr>
              <w:t>ISD = 200m</w:t>
            </w:r>
          </w:p>
        </w:tc>
        <w:tc>
          <w:tcPr>
            <w:tcW w:w="1417" w:type="dxa"/>
            <w:tcBorders>
              <w:top w:val="nil"/>
              <w:left w:val="nil"/>
              <w:bottom w:val="single" w:sz="8" w:space="0" w:color="auto"/>
              <w:right w:val="single" w:sz="4" w:space="0" w:color="auto"/>
            </w:tcBorders>
            <w:shd w:val="clear" w:color="auto" w:fill="auto"/>
            <w:noWrap/>
            <w:vAlign w:val="bottom"/>
            <w:hideMark/>
          </w:tcPr>
          <w:p w14:paraId="282FE413" w14:textId="77777777" w:rsidR="00BC5BA0" w:rsidRPr="00692D33" w:rsidRDefault="00BC5BA0" w:rsidP="00B33BD5">
            <w:pPr>
              <w:jc w:val="center"/>
              <w:rPr>
                <w:b/>
                <w:bCs/>
                <w:color w:val="000000"/>
              </w:rPr>
            </w:pPr>
            <w:r w:rsidRPr="00692D33">
              <w:rPr>
                <w:b/>
                <w:bCs/>
                <w:color w:val="000000"/>
              </w:rPr>
              <w:t>ISD = 300m</w:t>
            </w:r>
          </w:p>
        </w:tc>
        <w:tc>
          <w:tcPr>
            <w:tcW w:w="1413" w:type="dxa"/>
            <w:tcBorders>
              <w:top w:val="nil"/>
              <w:left w:val="nil"/>
              <w:bottom w:val="single" w:sz="8" w:space="0" w:color="auto"/>
              <w:right w:val="single" w:sz="4" w:space="0" w:color="auto"/>
            </w:tcBorders>
            <w:shd w:val="clear" w:color="auto" w:fill="auto"/>
            <w:noWrap/>
            <w:vAlign w:val="bottom"/>
            <w:hideMark/>
          </w:tcPr>
          <w:p w14:paraId="504D8504" w14:textId="5040F01F" w:rsidR="00BC5BA0" w:rsidRPr="00692D33" w:rsidRDefault="00BC5BA0" w:rsidP="00B33BD5">
            <w:pPr>
              <w:jc w:val="center"/>
              <w:rPr>
                <w:b/>
                <w:bCs/>
                <w:color w:val="000000"/>
              </w:rPr>
            </w:pPr>
            <w:r w:rsidRPr="00692D33">
              <w:rPr>
                <w:b/>
                <w:bCs/>
                <w:color w:val="000000"/>
              </w:rPr>
              <w:t>ISD =</w:t>
            </w:r>
            <w:r w:rsidR="00804E59" w:rsidRPr="00692D33">
              <w:rPr>
                <w:b/>
                <w:bCs/>
                <w:color w:val="000000"/>
              </w:rPr>
              <w:t xml:space="preserve"> 4</w:t>
            </w:r>
            <w:r w:rsidRPr="00692D33">
              <w:rPr>
                <w:b/>
                <w:bCs/>
                <w:color w:val="000000"/>
              </w:rPr>
              <w:t>00m</w:t>
            </w:r>
          </w:p>
        </w:tc>
        <w:tc>
          <w:tcPr>
            <w:tcW w:w="1706" w:type="dxa"/>
            <w:tcBorders>
              <w:top w:val="nil"/>
              <w:left w:val="nil"/>
              <w:bottom w:val="single" w:sz="8" w:space="0" w:color="auto"/>
              <w:right w:val="single" w:sz="8" w:space="0" w:color="auto"/>
            </w:tcBorders>
            <w:shd w:val="clear" w:color="auto" w:fill="auto"/>
            <w:noWrap/>
            <w:vAlign w:val="bottom"/>
            <w:hideMark/>
          </w:tcPr>
          <w:p w14:paraId="48F4DBAB" w14:textId="1018AB99" w:rsidR="00BC5BA0" w:rsidRPr="00692D33" w:rsidRDefault="00BC5BA0" w:rsidP="00B33BD5">
            <w:pPr>
              <w:jc w:val="center"/>
              <w:rPr>
                <w:b/>
                <w:bCs/>
                <w:color w:val="000000"/>
              </w:rPr>
            </w:pPr>
            <w:r w:rsidRPr="00692D33">
              <w:rPr>
                <w:b/>
                <w:bCs/>
                <w:color w:val="000000"/>
              </w:rPr>
              <w:t>ISD =</w:t>
            </w:r>
            <w:r w:rsidR="00804E59" w:rsidRPr="00692D33">
              <w:rPr>
                <w:b/>
                <w:bCs/>
                <w:color w:val="000000"/>
              </w:rPr>
              <w:t xml:space="preserve"> </w:t>
            </w:r>
            <w:r w:rsidRPr="00692D33">
              <w:rPr>
                <w:b/>
                <w:bCs/>
                <w:color w:val="000000"/>
              </w:rPr>
              <w:t>500m</w:t>
            </w:r>
          </w:p>
        </w:tc>
      </w:tr>
      <w:tr w:rsidR="000C7DB2" w:rsidRPr="00692D33" w14:paraId="08D5E3CF" w14:textId="77777777" w:rsidTr="00FF38A3">
        <w:trPr>
          <w:trHeight w:val="330"/>
        </w:trPr>
        <w:tc>
          <w:tcPr>
            <w:tcW w:w="3402" w:type="dxa"/>
            <w:tcBorders>
              <w:top w:val="nil"/>
              <w:left w:val="single" w:sz="8" w:space="0" w:color="auto"/>
              <w:bottom w:val="single" w:sz="8" w:space="0" w:color="auto"/>
              <w:right w:val="single" w:sz="8" w:space="0" w:color="auto"/>
            </w:tcBorders>
            <w:shd w:val="clear" w:color="auto" w:fill="auto"/>
            <w:noWrap/>
            <w:vAlign w:val="bottom"/>
            <w:hideMark/>
          </w:tcPr>
          <w:p w14:paraId="23B418A6" w14:textId="77777777" w:rsidR="00BC5BA0" w:rsidRPr="00692D33" w:rsidRDefault="00BC5BA0" w:rsidP="00B33BD5">
            <w:pPr>
              <w:jc w:val="center"/>
              <w:rPr>
                <w:b/>
                <w:bCs/>
                <w:color w:val="000000"/>
              </w:rPr>
            </w:pPr>
            <w:r w:rsidRPr="00692D33">
              <w:rPr>
                <w:b/>
                <w:bCs/>
                <w:color w:val="000000"/>
              </w:rPr>
              <w:t>21.2 dBm - 0%</w:t>
            </w:r>
          </w:p>
        </w:tc>
        <w:tc>
          <w:tcPr>
            <w:tcW w:w="1418" w:type="dxa"/>
            <w:tcBorders>
              <w:top w:val="nil"/>
              <w:left w:val="nil"/>
              <w:bottom w:val="single" w:sz="8" w:space="0" w:color="auto"/>
              <w:right w:val="single" w:sz="4" w:space="0" w:color="auto"/>
            </w:tcBorders>
            <w:shd w:val="clear" w:color="auto" w:fill="auto"/>
            <w:noWrap/>
            <w:vAlign w:val="bottom"/>
            <w:hideMark/>
          </w:tcPr>
          <w:p w14:paraId="4F226867" w14:textId="77777777" w:rsidR="00BC5BA0" w:rsidRPr="00692D33" w:rsidRDefault="00BC5BA0" w:rsidP="00B33BD5">
            <w:pPr>
              <w:jc w:val="center"/>
              <w:rPr>
                <w:color w:val="000000"/>
              </w:rPr>
            </w:pPr>
            <w:r w:rsidRPr="00692D33">
              <w:rPr>
                <w:color w:val="000000"/>
              </w:rPr>
              <w:t>0%</w:t>
            </w:r>
          </w:p>
        </w:tc>
        <w:tc>
          <w:tcPr>
            <w:tcW w:w="1417" w:type="dxa"/>
            <w:tcBorders>
              <w:top w:val="nil"/>
              <w:left w:val="single" w:sz="8" w:space="0" w:color="auto"/>
              <w:bottom w:val="single" w:sz="8" w:space="0" w:color="auto"/>
              <w:right w:val="single" w:sz="4" w:space="0" w:color="auto"/>
            </w:tcBorders>
            <w:shd w:val="clear" w:color="auto" w:fill="auto"/>
            <w:noWrap/>
            <w:vAlign w:val="bottom"/>
            <w:hideMark/>
          </w:tcPr>
          <w:p w14:paraId="760C17EC" w14:textId="77777777" w:rsidR="00BC5BA0" w:rsidRPr="00692D33" w:rsidRDefault="00BC5BA0" w:rsidP="00B33BD5">
            <w:pPr>
              <w:jc w:val="center"/>
              <w:rPr>
                <w:color w:val="000000"/>
              </w:rPr>
            </w:pPr>
            <w:r w:rsidRPr="00692D33">
              <w:rPr>
                <w:color w:val="000000"/>
              </w:rPr>
              <w:t>4%</w:t>
            </w:r>
          </w:p>
        </w:tc>
        <w:tc>
          <w:tcPr>
            <w:tcW w:w="1413" w:type="dxa"/>
            <w:tcBorders>
              <w:top w:val="nil"/>
              <w:left w:val="single" w:sz="8" w:space="0" w:color="auto"/>
              <w:bottom w:val="single" w:sz="8" w:space="0" w:color="auto"/>
              <w:right w:val="single" w:sz="4" w:space="0" w:color="auto"/>
            </w:tcBorders>
            <w:shd w:val="clear" w:color="auto" w:fill="auto"/>
            <w:noWrap/>
            <w:vAlign w:val="bottom"/>
            <w:hideMark/>
          </w:tcPr>
          <w:p w14:paraId="48FEB723" w14:textId="77777777" w:rsidR="00BC5BA0" w:rsidRPr="00692D33" w:rsidRDefault="00BC5BA0" w:rsidP="00B33BD5">
            <w:pPr>
              <w:jc w:val="center"/>
              <w:rPr>
                <w:color w:val="000000"/>
              </w:rPr>
            </w:pPr>
            <w:r w:rsidRPr="00692D33">
              <w:rPr>
                <w:color w:val="000000"/>
              </w:rPr>
              <w:t>18%</w:t>
            </w:r>
          </w:p>
        </w:tc>
        <w:tc>
          <w:tcPr>
            <w:tcW w:w="1706" w:type="dxa"/>
            <w:tcBorders>
              <w:top w:val="nil"/>
              <w:left w:val="single" w:sz="8" w:space="0" w:color="auto"/>
              <w:bottom w:val="single" w:sz="8" w:space="0" w:color="auto"/>
              <w:right w:val="single" w:sz="4" w:space="0" w:color="auto"/>
            </w:tcBorders>
            <w:shd w:val="clear" w:color="auto" w:fill="auto"/>
            <w:noWrap/>
            <w:vAlign w:val="bottom"/>
            <w:hideMark/>
          </w:tcPr>
          <w:p w14:paraId="6EC4A409" w14:textId="77777777" w:rsidR="00BC5BA0" w:rsidRPr="00692D33" w:rsidRDefault="00BC5BA0" w:rsidP="00B33BD5">
            <w:pPr>
              <w:jc w:val="center"/>
              <w:rPr>
                <w:color w:val="000000"/>
              </w:rPr>
            </w:pPr>
            <w:r w:rsidRPr="00692D33">
              <w:rPr>
                <w:color w:val="000000"/>
              </w:rPr>
              <w:t>25%</w:t>
            </w:r>
          </w:p>
        </w:tc>
      </w:tr>
      <w:tr w:rsidR="000C7DB2" w:rsidRPr="00692D33" w14:paraId="30DE3AF3" w14:textId="77777777" w:rsidTr="009C042B">
        <w:trPr>
          <w:trHeight w:val="330"/>
        </w:trPr>
        <w:tc>
          <w:tcPr>
            <w:tcW w:w="3402" w:type="dxa"/>
            <w:tcBorders>
              <w:top w:val="nil"/>
              <w:left w:val="single" w:sz="8" w:space="0" w:color="auto"/>
              <w:bottom w:val="single" w:sz="4" w:space="0" w:color="auto"/>
              <w:right w:val="nil"/>
            </w:tcBorders>
            <w:shd w:val="clear" w:color="auto" w:fill="auto"/>
            <w:noWrap/>
            <w:vAlign w:val="bottom"/>
            <w:hideMark/>
          </w:tcPr>
          <w:p w14:paraId="10913D77" w14:textId="77777777" w:rsidR="00BC5BA0" w:rsidRPr="00692D33" w:rsidRDefault="00BC5BA0" w:rsidP="00B33BD5">
            <w:pPr>
              <w:jc w:val="center"/>
              <w:rPr>
                <w:b/>
                <w:bCs/>
                <w:color w:val="000000"/>
              </w:rPr>
            </w:pPr>
            <w:r w:rsidRPr="00692D33">
              <w:rPr>
                <w:b/>
                <w:bCs/>
                <w:color w:val="000000"/>
              </w:rPr>
              <w:t>21.2 dBm - 20%</w:t>
            </w:r>
          </w:p>
        </w:tc>
        <w:tc>
          <w:tcPr>
            <w:tcW w:w="1418" w:type="dxa"/>
            <w:tcBorders>
              <w:top w:val="nil"/>
              <w:left w:val="single" w:sz="8" w:space="0" w:color="auto"/>
              <w:bottom w:val="single" w:sz="4" w:space="0" w:color="auto"/>
              <w:right w:val="single" w:sz="4" w:space="0" w:color="auto"/>
            </w:tcBorders>
            <w:shd w:val="clear" w:color="auto" w:fill="auto"/>
            <w:noWrap/>
            <w:vAlign w:val="bottom"/>
            <w:hideMark/>
          </w:tcPr>
          <w:p w14:paraId="2EEFB9BA" w14:textId="77777777" w:rsidR="00BC5BA0" w:rsidRPr="00692D33" w:rsidRDefault="00BC5BA0" w:rsidP="00B33BD5">
            <w:pPr>
              <w:jc w:val="center"/>
              <w:rPr>
                <w:color w:val="000000"/>
              </w:rPr>
            </w:pPr>
            <w:r w:rsidRPr="00692D33">
              <w:rPr>
                <w:color w:val="000000"/>
              </w:rPr>
              <w:t>1%</w:t>
            </w:r>
          </w:p>
        </w:tc>
        <w:tc>
          <w:tcPr>
            <w:tcW w:w="1417" w:type="dxa"/>
            <w:tcBorders>
              <w:top w:val="nil"/>
              <w:left w:val="single" w:sz="8" w:space="0" w:color="auto"/>
              <w:bottom w:val="single" w:sz="4" w:space="0" w:color="auto"/>
              <w:right w:val="single" w:sz="4" w:space="0" w:color="auto"/>
            </w:tcBorders>
            <w:shd w:val="clear" w:color="auto" w:fill="auto"/>
            <w:noWrap/>
            <w:vAlign w:val="bottom"/>
            <w:hideMark/>
          </w:tcPr>
          <w:p w14:paraId="3DB4D097" w14:textId="77777777" w:rsidR="00BC5BA0" w:rsidRPr="00692D33" w:rsidRDefault="00BC5BA0" w:rsidP="00B33BD5">
            <w:pPr>
              <w:jc w:val="center"/>
              <w:rPr>
                <w:color w:val="000000"/>
              </w:rPr>
            </w:pPr>
            <w:r w:rsidRPr="00692D33">
              <w:rPr>
                <w:color w:val="000000"/>
              </w:rPr>
              <w:t>12%</w:t>
            </w:r>
          </w:p>
        </w:tc>
        <w:tc>
          <w:tcPr>
            <w:tcW w:w="1413" w:type="dxa"/>
            <w:tcBorders>
              <w:top w:val="nil"/>
              <w:left w:val="single" w:sz="8" w:space="0" w:color="auto"/>
              <w:bottom w:val="single" w:sz="4" w:space="0" w:color="auto"/>
              <w:right w:val="single" w:sz="4" w:space="0" w:color="auto"/>
            </w:tcBorders>
            <w:shd w:val="clear" w:color="auto" w:fill="auto"/>
            <w:noWrap/>
            <w:vAlign w:val="bottom"/>
            <w:hideMark/>
          </w:tcPr>
          <w:p w14:paraId="5CB2F749" w14:textId="77777777" w:rsidR="00BC5BA0" w:rsidRPr="00692D33" w:rsidRDefault="00BC5BA0" w:rsidP="00B33BD5">
            <w:pPr>
              <w:jc w:val="center"/>
              <w:rPr>
                <w:color w:val="000000"/>
              </w:rPr>
            </w:pPr>
            <w:r w:rsidRPr="00692D33">
              <w:rPr>
                <w:color w:val="000000"/>
              </w:rPr>
              <w:t>23%</w:t>
            </w:r>
          </w:p>
        </w:tc>
        <w:tc>
          <w:tcPr>
            <w:tcW w:w="1706" w:type="dxa"/>
            <w:tcBorders>
              <w:top w:val="nil"/>
              <w:left w:val="single" w:sz="8" w:space="0" w:color="auto"/>
              <w:bottom w:val="single" w:sz="4" w:space="0" w:color="auto"/>
              <w:right w:val="single" w:sz="4" w:space="0" w:color="auto"/>
            </w:tcBorders>
            <w:shd w:val="clear" w:color="auto" w:fill="auto"/>
            <w:noWrap/>
            <w:vAlign w:val="bottom"/>
            <w:hideMark/>
          </w:tcPr>
          <w:p w14:paraId="58C5A1D5" w14:textId="77777777" w:rsidR="00BC5BA0" w:rsidRPr="00692D33" w:rsidRDefault="00BC5BA0" w:rsidP="00B33BD5">
            <w:pPr>
              <w:jc w:val="center"/>
              <w:rPr>
                <w:color w:val="000000"/>
              </w:rPr>
            </w:pPr>
            <w:r w:rsidRPr="00692D33">
              <w:rPr>
                <w:color w:val="000000"/>
              </w:rPr>
              <w:t>32%</w:t>
            </w:r>
          </w:p>
        </w:tc>
      </w:tr>
      <w:tr w:rsidR="00FA6ABF" w:rsidRPr="00692D33" w14:paraId="141E099F" w14:textId="77777777" w:rsidTr="009C042B">
        <w:trPr>
          <w:trHeight w:val="330"/>
        </w:trPr>
        <w:tc>
          <w:tcPr>
            <w:tcW w:w="3402" w:type="dxa"/>
            <w:tcBorders>
              <w:top w:val="single" w:sz="4" w:space="0" w:color="auto"/>
              <w:left w:val="single" w:sz="8" w:space="0" w:color="auto"/>
              <w:bottom w:val="single" w:sz="8" w:space="0" w:color="auto"/>
              <w:right w:val="nil"/>
            </w:tcBorders>
            <w:shd w:val="clear" w:color="auto" w:fill="auto"/>
            <w:noWrap/>
            <w:vAlign w:val="bottom"/>
          </w:tcPr>
          <w:p w14:paraId="12463A1E" w14:textId="4FD8F662" w:rsidR="00FA6ABF" w:rsidRPr="00692D33" w:rsidRDefault="00FA6ABF" w:rsidP="00B33BD5">
            <w:pPr>
              <w:jc w:val="center"/>
              <w:rPr>
                <w:b/>
                <w:bCs/>
                <w:color w:val="000000"/>
              </w:rPr>
            </w:pPr>
            <w:r w:rsidRPr="00692D33">
              <w:rPr>
                <w:b/>
                <w:bCs/>
                <w:color w:val="000000"/>
              </w:rPr>
              <w:t>21.2 dBm - 80%</w:t>
            </w:r>
          </w:p>
        </w:tc>
        <w:tc>
          <w:tcPr>
            <w:tcW w:w="1418" w:type="dxa"/>
            <w:tcBorders>
              <w:top w:val="single" w:sz="4" w:space="0" w:color="auto"/>
              <w:left w:val="single" w:sz="8" w:space="0" w:color="auto"/>
              <w:bottom w:val="single" w:sz="8" w:space="0" w:color="auto"/>
              <w:right w:val="single" w:sz="4" w:space="0" w:color="auto"/>
            </w:tcBorders>
            <w:shd w:val="clear" w:color="auto" w:fill="auto"/>
            <w:noWrap/>
            <w:vAlign w:val="bottom"/>
          </w:tcPr>
          <w:p w14:paraId="2B3038E9" w14:textId="57F35DB5" w:rsidR="00FA6ABF" w:rsidRPr="00692D33" w:rsidRDefault="00FA6ABF" w:rsidP="00B33BD5">
            <w:pPr>
              <w:jc w:val="center"/>
              <w:rPr>
                <w:color w:val="000000"/>
              </w:rPr>
            </w:pPr>
            <w:r w:rsidRPr="00692D33">
              <w:rPr>
                <w:color w:val="000000"/>
              </w:rPr>
              <w:t>25%</w:t>
            </w:r>
          </w:p>
        </w:tc>
        <w:tc>
          <w:tcPr>
            <w:tcW w:w="1417" w:type="dxa"/>
            <w:tcBorders>
              <w:top w:val="single" w:sz="4" w:space="0" w:color="auto"/>
              <w:left w:val="single" w:sz="8" w:space="0" w:color="auto"/>
              <w:bottom w:val="single" w:sz="8" w:space="0" w:color="auto"/>
              <w:right w:val="single" w:sz="4" w:space="0" w:color="auto"/>
            </w:tcBorders>
            <w:shd w:val="clear" w:color="auto" w:fill="auto"/>
            <w:noWrap/>
            <w:vAlign w:val="bottom"/>
          </w:tcPr>
          <w:p w14:paraId="74041C55" w14:textId="2E5ECDC2" w:rsidR="00FA6ABF" w:rsidRPr="00692D33" w:rsidRDefault="00FA6ABF" w:rsidP="00B33BD5">
            <w:pPr>
              <w:jc w:val="center"/>
              <w:rPr>
                <w:color w:val="000000"/>
              </w:rPr>
            </w:pPr>
            <w:r w:rsidRPr="00692D33">
              <w:rPr>
                <w:color w:val="000000"/>
              </w:rPr>
              <w:t>44%</w:t>
            </w:r>
          </w:p>
        </w:tc>
        <w:tc>
          <w:tcPr>
            <w:tcW w:w="1413" w:type="dxa"/>
            <w:tcBorders>
              <w:top w:val="single" w:sz="4" w:space="0" w:color="auto"/>
              <w:left w:val="single" w:sz="8" w:space="0" w:color="auto"/>
              <w:bottom w:val="single" w:sz="8" w:space="0" w:color="auto"/>
              <w:right w:val="single" w:sz="4" w:space="0" w:color="auto"/>
            </w:tcBorders>
            <w:shd w:val="clear" w:color="auto" w:fill="auto"/>
            <w:noWrap/>
            <w:vAlign w:val="bottom"/>
          </w:tcPr>
          <w:p w14:paraId="5CBFD2FA" w14:textId="06085FA0" w:rsidR="00FA6ABF" w:rsidRPr="00692D33" w:rsidRDefault="00FA6ABF" w:rsidP="00B33BD5">
            <w:pPr>
              <w:jc w:val="center"/>
              <w:rPr>
                <w:color w:val="000000"/>
              </w:rPr>
            </w:pPr>
            <w:r w:rsidRPr="00692D33">
              <w:rPr>
                <w:color w:val="000000"/>
              </w:rPr>
              <w:t>55%</w:t>
            </w:r>
          </w:p>
        </w:tc>
        <w:tc>
          <w:tcPr>
            <w:tcW w:w="1706" w:type="dxa"/>
            <w:tcBorders>
              <w:top w:val="single" w:sz="4" w:space="0" w:color="auto"/>
              <w:left w:val="single" w:sz="8" w:space="0" w:color="auto"/>
              <w:bottom w:val="single" w:sz="8" w:space="0" w:color="auto"/>
              <w:right w:val="single" w:sz="4" w:space="0" w:color="auto"/>
            </w:tcBorders>
            <w:shd w:val="clear" w:color="auto" w:fill="auto"/>
            <w:noWrap/>
            <w:vAlign w:val="bottom"/>
          </w:tcPr>
          <w:p w14:paraId="460DA274" w14:textId="0A492FEE" w:rsidR="00FA6ABF" w:rsidRPr="00692D33" w:rsidRDefault="00FA6ABF" w:rsidP="00B33BD5">
            <w:pPr>
              <w:jc w:val="center"/>
              <w:rPr>
                <w:color w:val="000000"/>
              </w:rPr>
            </w:pPr>
            <w:r w:rsidRPr="00692D33">
              <w:rPr>
                <w:color w:val="000000"/>
              </w:rPr>
              <w:t>100%</w:t>
            </w:r>
          </w:p>
        </w:tc>
      </w:tr>
    </w:tbl>
    <w:p w14:paraId="566DAC9F" w14:textId="016375F7" w:rsidR="00BC5BA0" w:rsidRPr="00692D33" w:rsidRDefault="00BC5BA0" w:rsidP="00B33BD5">
      <w:pPr>
        <w:pStyle w:val="Caption"/>
        <w:keepNext/>
        <w:jc w:val="center"/>
      </w:pPr>
    </w:p>
    <w:p w14:paraId="4393F446" w14:textId="77777777" w:rsidR="00BC5BA0" w:rsidRPr="00692D33" w:rsidRDefault="00BC5BA0" w:rsidP="00B33BD5">
      <w:pPr>
        <w:pStyle w:val="Caption"/>
        <w:keepNext/>
        <w:jc w:val="center"/>
      </w:pPr>
    </w:p>
    <w:p w14:paraId="56D5CD4D" w14:textId="34362E6F" w:rsidR="00BC5BA0" w:rsidRPr="00692D33" w:rsidRDefault="00BC5BA0" w:rsidP="00B33BD5">
      <w:pPr>
        <w:pStyle w:val="Caption"/>
        <w:keepNext/>
        <w:jc w:val="center"/>
      </w:pPr>
      <w:r w:rsidRPr="00692D33">
        <w:t xml:space="preserve">Table </w:t>
      </w:r>
      <w:r w:rsidRPr="00692D33">
        <w:fldChar w:fldCharType="begin"/>
      </w:r>
      <w:r w:rsidRPr="00692D33">
        <w:instrText xml:space="preserve"> SEQ Table \* ARABIC </w:instrText>
      </w:r>
      <w:r w:rsidRPr="00692D33">
        <w:fldChar w:fldCharType="separate"/>
      </w:r>
      <w:r w:rsidR="002A1E25" w:rsidRPr="00692D33">
        <w:rPr>
          <w:noProof/>
        </w:rPr>
        <w:t>9</w:t>
      </w:r>
      <w:r w:rsidRPr="00692D33">
        <w:fldChar w:fldCharType="end"/>
      </w:r>
      <w:r w:rsidRPr="00692D33">
        <w:t>. 5%-tile SINR loss [dB] compared to 25.2 dBm UE peak EIRP</w:t>
      </w:r>
    </w:p>
    <w:tbl>
      <w:tblPr>
        <w:tblW w:w="9356" w:type="dxa"/>
        <w:tblLook w:val="04A0" w:firstRow="1" w:lastRow="0" w:firstColumn="1" w:lastColumn="0" w:noHBand="0" w:noVBand="1"/>
      </w:tblPr>
      <w:tblGrid>
        <w:gridCol w:w="3330"/>
        <w:gridCol w:w="1632"/>
        <w:gridCol w:w="1417"/>
        <w:gridCol w:w="1418"/>
        <w:gridCol w:w="1559"/>
      </w:tblGrid>
      <w:tr w:rsidR="00BC5BA0" w:rsidRPr="00692D33" w14:paraId="20CB8449" w14:textId="77777777" w:rsidTr="00FF38A3">
        <w:trPr>
          <w:trHeight w:val="330"/>
        </w:trPr>
        <w:tc>
          <w:tcPr>
            <w:tcW w:w="3330" w:type="dxa"/>
            <w:tcBorders>
              <w:top w:val="nil"/>
              <w:left w:val="nil"/>
              <w:bottom w:val="nil"/>
              <w:right w:val="nil"/>
            </w:tcBorders>
            <w:shd w:val="clear" w:color="auto" w:fill="auto"/>
            <w:noWrap/>
            <w:vAlign w:val="bottom"/>
            <w:hideMark/>
          </w:tcPr>
          <w:p w14:paraId="33256FE7" w14:textId="77777777" w:rsidR="00BC5BA0" w:rsidRPr="00692D33" w:rsidRDefault="00BC5BA0" w:rsidP="00B33BD5">
            <w:pPr>
              <w:spacing w:after="0"/>
              <w:jc w:val="center"/>
              <w:rPr>
                <w:lang w:val="en-US"/>
              </w:rPr>
            </w:pPr>
          </w:p>
        </w:tc>
        <w:tc>
          <w:tcPr>
            <w:tcW w:w="6026" w:type="dxa"/>
            <w:gridSpan w:val="4"/>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3E42B94D" w14:textId="77777777" w:rsidR="00BC5BA0" w:rsidRPr="00692D33" w:rsidRDefault="00BC5BA0" w:rsidP="00B33BD5">
            <w:pPr>
              <w:spacing w:after="0"/>
              <w:jc w:val="center"/>
              <w:rPr>
                <w:b/>
                <w:bCs/>
                <w:color w:val="000000"/>
                <w:lang w:val="en-US"/>
              </w:rPr>
            </w:pPr>
            <w:r w:rsidRPr="00692D33">
              <w:rPr>
                <w:b/>
                <w:bCs/>
                <w:color w:val="000000"/>
                <w:lang w:val="en-US"/>
              </w:rPr>
              <w:t>5%-tile SINR loss compared to 25.2 dBm EIRP [dB]</w:t>
            </w:r>
          </w:p>
        </w:tc>
      </w:tr>
      <w:tr w:rsidR="00BC5BA0" w:rsidRPr="00692D33" w14:paraId="10451E05" w14:textId="77777777" w:rsidTr="00FF38A3">
        <w:trPr>
          <w:trHeight w:val="330"/>
        </w:trPr>
        <w:tc>
          <w:tcPr>
            <w:tcW w:w="3330" w:type="dxa"/>
            <w:tcBorders>
              <w:top w:val="single" w:sz="8" w:space="0" w:color="auto"/>
              <w:left w:val="single" w:sz="8" w:space="0" w:color="auto"/>
              <w:bottom w:val="single" w:sz="8" w:space="0" w:color="auto"/>
              <w:right w:val="nil"/>
            </w:tcBorders>
            <w:shd w:val="clear" w:color="auto" w:fill="auto"/>
            <w:noWrap/>
            <w:vAlign w:val="bottom"/>
            <w:hideMark/>
          </w:tcPr>
          <w:p w14:paraId="3A9E98AC" w14:textId="77777777" w:rsidR="00BC5BA0" w:rsidRPr="00692D33" w:rsidRDefault="00BC5BA0" w:rsidP="00B33BD5">
            <w:pPr>
              <w:spacing w:after="0"/>
              <w:jc w:val="center"/>
              <w:rPr>
                <w:b/>
                <w:bCs/>
                <w:color w:val="000000"/>
                <w:lang w:val="en-US"/>
              </w:rPr>
            </w:pPr>
            <w:r w:rsidRPr="00692D33">
              <w:rPr>
                <w:b/>
                <w:bCs/>
                <w:color w:val="000000"/>
                <w:lang w:val="en-US"/>
              </w:rPr>
              <w:t>Max EIRP [dBm] - % indoor UE</w:t>
            </w:r>
          </w:p>
        </w:tc>
        <w:tc>
          <w:tcPr>
            <w:tcW w:w="1632" w:type="dxa"/>
            <w:tcBorders>
              <w:top w:val="nil"/>
              <w:left w:val="single" w:sz="8" w:space="0" w:color="auto"/>
              <w:bottom w:val="single" w:sz="8" w:space="0" w:color="auto"/>
              <w:right w:val="nil"/>
            </w:tcBorders>
            <w:shd w:val="clear" w:color="auto" w:fill="auto"/>
            <w:noWrap/>
            <w:vAlign w:val="bottom"/>
            <w:hideMark/>
          </w:tcPr>
          <w:p w14:paraId="7153C224" w14:textId="77777777" w:rsidR="00BC5BA0" w:rsidRPr="00692D33" w:rsidRDefault="00BC5BA0" w:rsidP="00B33BD5">
            <w:pPr>
              <w:spacing w:after="0"/>
              <w:jc w:val="center"/>
              <w:rPr>
                <w:b/>
                <w:bCs/>
                <w:color w:val="000000"/>
                <w:lang w:val="en-US"/>
              </w:rPr>
            </w:pPr>
            <w:r w:rsidRPr="00692D33">
              <w:rPr>
                <w:b/>
                <w:bCs/>
                <w:color w:val="000000"/>
                <w:lang w:val="en-US"/>
              </w:rPr>
              <w:t>ISD = 200m</w:t>
            </w:r>
          </w:p>
        </w:tc>
        <w:tc>
          <w:tcPr>
            <w:tcW w:w="1417" w:type="dxa"/>
            <w:tcBorders>
              <w:top w:val="nil"/>
              <w:left w:val="single" w:sz="8" w:space="0" w:color="auto"/>
              <w:bottom w:val="single" w:sz="8" w:space="0" w:color="auto"/>
              <w:right w:val="nil"/>
            </w:tcBorders>
            <w:shd w:val="clear" w:color="auto" w:fill="auto"/>
            <w:noWrap/>
            <w:vAlign w:val="bottom"/>
            <w:hideMark/>
          </w:tcPr>
          <w:p w14:paraId="354BE01B" w14:textId="77777777" w:rsidR="00BC5BA0" w:rsidRPr="00692D33" w:rsidRDefault="00BC5BA0" w:rsidP="00B33BD5">
            <w:pPr>
              <w:spacing w:after="0"/>
              <w:jc w:val="center"/>
              <w:rPr>
                <w:b/>
                <w:bCs/>
                <w:color w:val="000000"/>
                <w:lang w:val="en-US"/>
              </w:rPr>
            </w:pPr>
            <w:r w:rsidRPr="00692D33">
              <w:rPr>
                <w:b/>
                <w:bCs/>
                <w:color w:val="000000"/>
                <w:lang w:val="en-US"/>
              </w:rPr>
              <w:t>ISD = 300m</w:t>
            </w:r>
          </w:p>
        </w:tc>
        <w:tc>
          <w:tcPr>
            <w:tcW w:w="1418" w:type="dxa"/>
            <w:tcBorders>
              <w:top w:val="nil"/>
              <w:left w:val="single" w:sz="8" w:space="0" w:color="auto"/>
              <w:bottom w:val="single" w:sz="8" w:space="0" w:color="auto"/>
              <w:right w:val="nil"/>
            </w:tcBorders>
            <w:shd w:val="clear" w:color="auto" w:fill="auto"/>
            <w:noWrap/>
            <w:vAlign w:val="bottom"/>
            <w:hideMark/>
          </w:tcPr>
          <w:p w14:paraId="3AE13D8E" w14:textId="77777777" w:rsidR="00BC5BA0" w:rsidRPr="00692D33" w:rsidRDefault="00BC5BA0" w:rsidP="00B33BD5">
            <w:pPr>
              <w:spacing w:after="0"/>
              <w:jc w:val="center"/>
              <w:rPr>
                <w:b/>
                <w:bCs/>
                <w:color w:val="000000"/>
                <w:lang w:val="en-US"/>
              </w:rPr>
            </w:pPr>
            <w:r w:rsidRPr="00692D33">
              <w:rPr>
                <w:b/>
                <w:bCs/>
                <w:color w:val="000000"/>
                <w:lang w:val="en-US"/>
              </w:rPr>
              <w:t>ISD = 400m</w:t>
            </w:r>
          </w:p>
        </w:tc>
        <w:tc>
          <w:tcPr>
            <w:tcW w:w="1559" w:type="dxa"/>
            <w:tcBorders>
              <w:top w:val="nil"/>
              <w:left w:val="single" w:sz="8" w:space="0" w:color="auto"/>
              <w:bottom w:val="single" w:sz="8" w:space="0" w:color="auto"/>
              <w:right w:val="single" w:sz="8" w:space="0" w:color="auto"/>
            </w:tcBorders>
            <w:shd w:val="clear" w:color="auto" w:fill="auto"/>
            <w:noWrap/>
            <w:vAlign w:val="bottom"/>
            <w:hideMark/>
          </w:tcPr>
          <w:p w14:paraId="6E0350F1" w14:textId="1C456507" w:rsidR="00BC5BA0" w:rsidRPr="00692D33" w:rsidRDefault="00BC5BA0" w:rsidP="00B33BD5">
            <w:pPr>
              <w:spacing w:after="0"/>
              <w:jc w:val="center"/>
              <w:rPr>
                <w:b/>
                <w:bCs/>
                <w:color w:val="000000"/>
                <w:lang w:val="en-US"/>
              </w:rPr>
            </w:pPr>
            <w:r w:rsidRPr="00692D33">
              <w:rPr>
                <w:b/>
                <w:bCs/>
                <w:color w:val="000000"/>
                <w:lang w:val="en-US"/>
              </w:rPr>
              <w:t>ISD =</w:t>
            </w:r>
            <w:r w:rsidR="00947116" w:rsidRPr="00692D33">
              <w:rPr>
                <w:b/>
                <w:bCs/>
                <w:color w:val="000000"/>
                <w:lang w:val="en-US"/>
              </w:rPr>
              <w:t xml:space="preserve"> </w:t>
            </w:r>
            <w:r w:rsidRPr="00692D33">
              <w:rPr>
                <w:b/>
                <w:bCs/>
                <w:color w:val="000000"/>
                <w:lang w:val="en-US"/>
              </w:rPr>
              <w:t>500m</w:t>
            </w:r>
          </w:p>
        </w:tc>
      </w:tr>
      <w:tr w:rsidR="00BC5BA0" w:rsidRPr="00692D33" w14:paraId="5A66F291" w14:textId="77777777" w:rsidTr="00FF38A3">
        <w:trPr>
          <w:trHeight w:val="46"/>
        </w:trPr>
        <w:tc>
          <w:tcPr>
            <w:tcW w:w="3330" w:type="dxa"/>
            <w:tcBorders>
              <w:top w:val="nil"/>
              <w:left w:val="single" w:sz="8" w:space="0" w:color="auto"/>
              <w:bottom w:val="single" w:sz="8" w:space="0" w:color="auto"/>
              <w:right w:val="nil"/>
            </w:tcBorders>
            <w:shd w:val="clear" w:color="auto" w:fill="auto"/>
            <w:noWrap/>
            <w:vAlign w:val="bottom"/>
            <w:hideMark/>
          </w:tcPr>
          <w:p w14:paraId="469D7205" w14:textId="77777777" w:rsidR="00BC5BA0" w:rsidRPr="00692D33" w:rsidRDefault="00BC5BA0" w:rsidP="00B33BD5">
            <w:pPr>
              <w:spacing w:after="0"/>
              <w:jc w:val="center"/>
              <w:rPr>
                <w:b/>
                <w:bCs/>
                <w:color w:val="000000"/>
                <w:lang w:val="en-US"/>
              </w:rPr>
            </w:pPr>
            <w:r w:rsidRPr="00692D33">
              <w:rPr>
                <w:b/>
                <w:bCs/>
                <w:color w:val="000000"/>
                <w:lang w:val="en-US"/>
              </w:rPr>
              <w:t>21.2 dBm - 0%</w:t>
            </w:r>
          </w:p>
        </w:tc>
        <w:tc>
          <w:tcPr>
            <w:tcW w:w="1632" w:type="dxa"/>
            <w:tcBorders>
              <w:top w:val="nil"/>
              <w:left w:val="single" w:sz="8" w:space="0" w:color="auto"/>
              <w:bottom w:val="single" w:sz="8" w:space="0" w:color="auto"/>
              <w:right w:val="single" w:sz="4" w:space="0" w:color="auto"/>
            </w:tcBorders>
            <w:shd w:val="clear" w:color="auto" w:fill="auto"/>
            <w:noWrap/>
            <w:vAlign w:val="center"/>
            <w:hideMark/>
          </w:tcPr>
          <w:p w14:paraId="212BF93E" w14:textId="77777777" w:rsidR="00BC5BA0" w:rsidRPr="00692D33" w:rsidRDefault="00BC5BA0" w:rsidP="00B33BD5">
            <w:pPr>
              <w:jc w:val="center"/>
              <w:rPr>
                <w:color w:val="000000"/>
              </w:rPr>
            </w:pPr>
            <w:r w:rsidRPr="00692D33">
              <w:rPr>
                <w:color w:val="000000"/>
              </w:rPr>
              <w:t>2.77</w:t>
            </w:r>
          </w:p>
        </w:tc>
        <w:tc>
          <w:tcPr>
            <w:tcW w:w="1417" w:type="dxa"/>
            <w:tcBorders>
              <w:top w:val="nil"/>
              <w:left w:val="single" w:sz="8" w:space="0" w:color="auto"/>
              <w:bottom w:val="single" w:sz="8" w:space="0" w:color="auto"/>
              <w:right w:val="single" w:sz="4" w:space="0" w:color="auto"/>
            </w:tcBorders>
            <w:shd w:val="clear" w:color="auto" w:fill="auto"/>
            <w:noWrap/>
            <w:vAlign w:val="bottom"/>
            <w:hideMark/>
          </w:tcPr>
          <w:p w14:paraId="2F0587AE" w14:textId="77777777" w:rsidR="00BC5BA0" w:rsidRPr="00692D33" w:rsidRDefault="00BC5BA0" w:rsidP="00B33BD5">
            <w:pPr>
              <w:jc w:val="center"/>
              <w:rPr>
                <w:color w:val="000000"/>
              </w:rPr>
            </w:pPr>
            <w:r w:rsidRPr="00692D33">
              <w:rPr>
                <w:color w:val="000000"/>
              </w:rPr>
              <w:t>3.72</w:t>
            </w:r>
          </w:p>
        </w:tc>
        <w:tc>
          <w:tcPr>
            <w:tcW w:w="1418" w:type="dxa"/>
            <w:tcBorders>
              <w:top w:val="nil"/>
              <w:left w:val="single" w:sz="8" w:space="0" w:color="auto"/>
              <w:bottom w:val="single" w:sz="8" w:space="0" w:color="auto"/>
              <w:right w:val="single" w:sz="4" w:space="0" w:color="auto"/>
            </w:tcBorders>
            <w:shd w:val="clear" w:color="auto" w:fill="auto"/>
            <w:noWrap/>
            <w:vAlign w:val="bottom"/>
            <w:hideMark/>
          </w:tcPr>
          <w:p w14:paraId="0232F4FB" w14:textId="77777777" w:rsidR="00BC5BA0" w:rsidRPr="00692D33" w:rsidRDefault="00BC5BA0" w:rsidP="00B33BD5">
            <w:pPr>
              <w:jc w:val="center"/>
              <w:rPr>
                <w:color w:val="000000"/>
              </w:rPr>
            </w:pPr>
            <w:r w:rsidRPr="00692D33">
              <w:rPr>
                <w:color w:val="000000"/>
              </w:rPr>
              <w:t>3.82</w:t>
            </w:r>
          </w:p>
        </w:tc>
        <w:tc>
          <w:tcPr>
            <w:tcW w:w="1559" w:type="dxa"/>
            <w:tcBorders>
              <w:top w:val="nil"/>
              <w:left w:val="single" w:sz="8" w:space="0" w:color="auto"/>
              <w:bottom w:val="single" w:sz="8" w:space="0" w:color="auto"/>
              <w:right w:val="single" w:sz="4" w:space="0" w:color="auto"/>
            </w:tcBorders>
            <w:shd w:val="clear" w:color="auto" w:fill="auto"/>
            <w:noWrap/>
            <w:vAlign w:val="bottom"/>
            <w:hideMark/>
          </w:tcPr>
          <w:p w14:paraId="77ED01B2" w14:textId="77777777" w:rsidR="00BC5BA0" w:rsidRPr="00692D33" w:rsidRDefault="00BC5BA0" w:rsidP="00B33BD5">
            <w:pPr>
              <w:jc w:val="center"/>
              <w:rPr>
                <w:color w:val="000000"/>
              </w:rPr>
            </w:pPr>
            <w:r w:rsidRPr="00692D33">
              <w:rPr>
                <w:color w:val="000000"/>
              </w:rPr>
              <w:t>3.83</w:t>
            </w:r>
          </w:p>
        </w:tc>
      </w:tr>
      <w:tr w:rsidR="00BC5BA0" w:rsidRPr="00692D33" w14:paraId="55106E12" w14:textId="77777777" w:rsidTr="009C042B">
        <w:trPr>
          <w:trHeight w:val="370"/>
        </w:trPr>
        <w:tc>
          <w:tcPr>
            <w:tcW w:w="3330" w:type="dxa"/>
            <w:tcBorders>
              <w:top w:val="nil"/>
              <w:left w:val="single" w:sz="8" w:space="0" w:color="auto"/>
              <w:bottom w:val="single" w:sz="4" w:space="0" w:color="auto"/>
              <w:right w:val="nil"/>
            </w:tcBorders>
            <w:shd w:val="clear" w:color="auto" w:fill="auto"/>
            <w:noWrap/>
            <w:vAlign w:val="bottom"/>
            <w:hideMark/>
          </w:tcPr>
          <w:p w14:paraId="3A747A9F" w14:textId="77777777" w:rsidR="00BC5BA0" w:rsidRPr="00692D33" w:rsidRDefault="00BC5BA0" w:rsidP="00B33BD5">
            <w:pPr>
              <w:spacing w:after="0"/>
              <w:jc w:val="center"/>
              <w:rPr>
                <w:b/>
                <w:bCs/>
                <w:color w:val="000000"/>
              </w:rPr>
            </w:pPr>
            <w:r w:rsidRPr="00692D33">
              <w:rPr>
                <w:b/>
                <w:bCs/>
                <w:color w:val="000000"/>
                <w:lang w:val="en-US"/>
              </w:rPr>
              <w:t>21.2 dBm - 20%</w:t>
            </w:r>
          </w:p>
        </w:tc>
        <w:tc>
          <w:tcPr>
            <w:tcW w:w="1632" w:type="dxa"/>
            <w:tcBorders>
              <w:top w:val="nil"/>
              <w:left w:val="single" w:sz="8" w:space="0" w:color="auto"/>
              <w:bottom w:val="single" w:sz="4" w:space="0" w:color="auto"/>
              <w:right w:val="single" w:sz="4" w:space="0" w:color="auto"/>
            </w:tcBorders>
            <w:shd w:val="clear" w:color="auto" w:fill="auto"/>
            <w:noWrap/>
            <w:vAlign w:val="bottom"/>
            <w:hideMark/>
          </w:tcPr>
          <w:p w14:paraId="2190E65A" w14:textId="77777777" w:rsidR="00BC5BA0" w:rsidRPr="00692D33" w:rsidRDefault="00BC5BA0" w:rsidP="00B33BD5">
            <w:pPr>
              <w:jc w:val="center"/>
              <w:rPr>
                <w:color w:val="000000"/>
              </w:rPr>
            </w:pPr>
            <w:r w:rsidRPr="00692D33">
              <w:rPr>
                <w:color w:val="000000"/>
              </w:rPr>
              <w:t>3.89</w:t>
            </w:r>
          </w:p>
        </w:tc>
        <w:tc>
          <w:tcPr>
            <w:tcW w:w="1417" w:type="dxa"/>
            <w:tcBorders>
              <w:top w:val="nil"/>
              <w:left w:val="single" w:sz="8" w:space="0" w:color="auto"/>
              <w:bottom w:val="single" w:sz="4" w:space="0" w:color="auto"/>
              <w:right w:val="single" w:sz="4" w:space="0" w:color="auto"/>
            </w:tcBorders>
            <w:shd w:val="clear" w:color="auto" w:fill="auto"/>
            <w:noWrap/>
            <w:vAlign w:val="bottom"/>
            <w:hideMark/>
          </w:tcPr>
          <w:p w14:paraId="4EE1D433" w14:textId="77777777" w:rsidR="00BC5BA0" w:rsidRPr="00692D33" w:rsidRDefault="00BC5BA0" w:rsidP="00B33BD5">
            <w:pPr>
              <w:jc w:val="center"/>
              <w:rPr>
                <w:color w:val="000000"/>
              </w:rPr>
            </w:pPr>
            <w:r w:rsidRPr="00692D33">
              <w:rPr>
                <w:color w:val="000000"/>
              </w:rPr>
              <w:t>3.84</w:t>
            </w:r>
          </w:p>
        </w:tc>
        <w:tc>
          <w:tcPr>
            <w:tcW w:w="1418" w:type="dxa"/>
            <w:tcBorders>
              <w:top w:val="nil"/>
              <w:left w:val="single" w:sz="8" w:space="0" w:color="auto"/>
              <w:bottom w:val="single" w:sz="4" w:space="0" w:color="auto"/>
              <w:right w:val="single" w:sz="4" w:space="0" w:color="auto"/>
            </w:tcBorders>
            <w:shd w:val="clear" w:color="auto" w:fill="auto"/>
            <w:noWrap/>
            <w:vAlign w:val="bottom"/>
            <w:hideMark/>
          </w:tcPr>
          <w:p w14:paraId="489689A2" w14:textId="77777777" w:rsidR="00BC5BA0" w:rsidRPr="00692D33" w:rsidRDefault="00BC5BA0" w:rsidP="00B33BD5">
            <w:pPr>
              <w:jc w:val="center"/>
              <w:rPr>
                <w:color w:val="000000"/>
              </w:rPr>
            </w:pPr>
            <w:r w:rsidRPr="00692D33">
              <w:rPr>
                <w:color w:val="000000"/>
              </w:rPr>
              <w:t>3.83</w:t>
            </w:r>
          </w:p>
        </w:tc>
        <w:tc>
          <w:tcPr>
            <w:tcW w:w="1559" w:type="dxa"/>
            <w:tcBorders>
              <w:top w:val="nil"/>
              <w:left w:val="single" w:sz="8" w:space="0" w:color="auto"/>
              <w:bottom w:val="single" w:sz="4" w:space="0" w:color="auto"/>
              <w:right w:val="single" w:sz="4" w:space="0" w:color="auto"/>
            </w:tcBorders>
            <w:shd w:val="clear" w:color="auto" w:fill="auto"/>
            <w:noWrap/>
            <w:vAlign w:val="bottom"/>
            <w:hideMark/>
          </w:tcPr>
          <w:p w14:paraId="522AF546" w14:textId="77777777" w:rsidR="00BC5BA0" w:rsidRPr="00692D33" w:rsidRDefault="00BC5BA0" w:rsidP="00B33BD5">
            <w:pPr>
              <w:jc w:val="center"/>
              <w:rPr>
                <w:color w:val="000000"/>
              </w:rPr>
            </w:pPr>
            <w:r w:rsidRPr="00692D33">
              <w:rPr>
                <w:color w:val="000000"/>
              </w:rPr>
              <w:t>3.86</w:t>
            </w:r>
          </w:p>
        </w:tc>
      </w:tr>
      <w:tr w:rsidR="00D359D9" w:rsidRPr="00692D33" w14:paraId="5EBFF291" w14:textId="77777777" w:rsidTr="009C042B">
        <w:trPr>
          <w:trHeight w:val="370"/>
        </w:trPr>
        <w:tc>
          <w:tcPr>
            <w:tcW w:w="3330" w:type="dxa"/>
            <w:tcBorders>
              <w:top w:val="single" w:sz="4" w:space="0" w:color="auto"/>
              <w:left w:val="single" w:sz="8" w:space="0" w:color="auto"/>
              <w:bottom w:val="single" w:sz="8" w:space="0" w:color="auto"/>
              <w:right w:val="nil"/>
            </w:tcBorders>
            <w:shd w:val="clear" w:color="auto" w:fill="auto"/>
            <w:noWrap/>
            <w:vAlign w:val="bottom"/>
          </w:tcPr>
          <w:p w14:paraId="7A62BA49" w14:textId="497551E1" w:rsidR="00D359D9" w:rsidRPr="00692D33" w:rsidRDefault="00D359D9" w:rsidP="00B33BD5">
            <w:pPr>
              <w:spacing w:after="0"/>
              <w:jc w:val="center"/>
              <w:rPr>
                <w:b/>
                <w:bCs/>
                <w:color w:val="000000"/>
                <w:lang w:val="en-US"/>
              </w:rPr>
            </w:pPr>
            <w:r w:rsidRPr="00692D33">
              <w:rPr>
                <w:b/>
                <w:bCs/>
                <w:color w:val="000000"/>
                <w:lang w:val="en-US"/>
              </w:rPr>
              <w:t>21.2 dBm - 80%</w:t>
            </w:r>
          </w:p>
        </w:tc>
        <w:tc>
          <w:tcPr>
            <w:tcW w:w="1632" w:type="dxa"/>
            <w:tcBorders>
              <w:top w:val="single" w:sz="4" w:space="0" w:color="auto"/>
              <w:left w:val="single" w:sz="8" w:space="0" w:color="auto"/>
              <w:bottom w:val="single" w:sz="8" w:space="0" w:color="auto"/>
              <w:right w:val="single" w:sz="4" w:space="0" w:color="auto"/>
            </w:tcBorders>
            <w:shd w:val="clear" w:color="auto" w:fill="auto"/>
            <w:noWrap/>
            <w:vAlign w:val="bottom"/>
          </w:tcPr>
          <w:p w14:paraId="38916E58" w14:textId="061F78A1" w:rsidR="00D359D9" w:rsidRPr="00692D33" w:rsidRDefault="00D359D9" w:rsidP="00B33BD5">
            <w:pPr>
              <w:jc w:val="center"/>
              <w:rPr>
                <w:color w:val="000000"/>
              </w:rPr>
            </w:pPr>
            <w:r w:rsidRPr="00692D33">
              <w:rPr>
                <w:color w:val="000000"/>
              </w:rPr>
              <w:t>3.88</w:t>
            </w:r>
          </w:p>
        </w:tc>
        <w:tc>
          <w:tcPr>
            <w:tcW w:w="1417" w:type="dxa"/>
            <w:tcBorders>
              <w:top w:val="single" w:sz="4" w:space="0" w:color="auto"/>
              <w:left w:val="single" w:sz="8" w:space="0" w:color="auto"/>
              <w:bottom w:val="single" w:sz="8" w:space="0" w:color="auto"/>
              <w:right w:val="single" w:sz="4" w:space="0" w:color="auto"/>
            </w:tcBorders>
            <w:shd w:val="clear" w:color="auto" w:fill="auto"/>
            <w:noWrap/>
            <w:vAlign w:val="bottom"/>
          </w:tcPr>
          <w:p w14:paraId="3E42E822" w14:textId="00637D34" w:rsidR="00D359D9" w:rsidRPr="00692D33" w:rsidRDefault="00D359D9" w:rsidP="00B33BD5">
            <w:pPr>
              <w:jc w:val="center"/>
              <w:rPr>
                <w:color w:val="000000"/>
              </w:rPr>
            </w:pPr>
            <w:r w:rsidRPr="00692D33">
              <w:rPr>
                <w:color w:val="000000"/>
              </w:rPr>
              <w:t>3.90</w:t>
            </w:r>
          </w:p>
        </w:tc>
        <w:tc>
          <w:tcPr>
            <w:tcW w:w="1418" w:type="dxa"/>
            <w:tcBorders>
              <w:top w:val="single" w:sz="4" w:space="0" w:color="auto"/>
              <w:left w:val="single" w:sz="8" w:space="0" w:color="auto"/>
              <w:bottom w:val="single" w:sz="8" w:space="0" w:color="auto"/>
              <w:right w:val="single" w:sz="4" w:space="0" w:color="auto"/>
            </w:tcBorders>
            <w:shd w:val="clear" w:color="auto" w:fill="auto"/>
            <w:noWrap/>
            <w:vAlign w:val="bottom"/>
          </w:tcPr>
          <w:p w14:paraId="27D022BD" w14:textId="03C6D6A9" w:rsidR="00D359D9" w:rsidRPr="00692D33" w:rsidRDefault="00D359D9" w:rsidP="00B33BD5">
            <w:pPr>
              <w:jc w:val="center"/>
              <w:rPr>
                <w:color w:val="000000"/>
              </w:rPr>
            </w:pPr>
            <w:r w:rsidRPr="00692D33">
              <w:rPr>
                <w:color w:val="000000"/>
              </w:rPr>
              <w:t>3.93</w:t>
            </w:r>
          </w:p>
        </w:tc>
        <w:tc>
          <w:tcPr>
            <w:tcW w:w="1559" w:type="dxa"/>
            <w:tcBorders>
              <w:top w:val="single" w:sz="4" w:space="0" w:color="auto"/>
              <w:left w:val="single" w:sz="8" w:space="0" w:color="auto"/>
              <w:bottom w:val="single" w:sz="8" w:space="0" w:color="auto"/>
              <w:right w:val="single" w:sz="4" w:space="0" w:color="auto"/>
            </w:tcBorders>
            <w:shd w:val="clear" w:color="auto" w:fill="auto"/>
            <w:noWrap/>
            <w:vAlign w:val="bottom"/>
          </w:tcPr>
          <w:p w14:paraId="76D183F3" w14:textId="7E25CFA8" w:rsidR="00D359D9" w:rsidRPr="00692D33" w:rsidRDefault="00D359D9" w:rsidP="00B33BD5">
            <w:pPr>
              <w:jc w:val="center"/>
              <w:rPr>
                <w:color w:val="000000"/>
              </w:rPr>
            </w:pPr>
            <w:r w:rsidRPr="00692D33">
              <w:rPr>
                <w:color w:val="000000"/>
              </w:rPr>
              <w:t>3.97</w:t>
            </w:r>
          </w:p>
        </w:tc>
      </w:tr>
    </w:tbl>
    <w:p w14:paraId="71C79B5D" w14:textId="77777777" w:rsidR="00BC5BA0" w:rsidRPr="00692D33" w:rsidRDefault="00BC5BA0" w:rsidP="00B33BD5">
      <w:pPr>
        <w:pStyle w:val="Caption"/>
        <w:keepNext/>
        <w:jc w:val="center"/>
      </w:pPr>
    </w:p>
    <w:p w14:paraId="76F5C21E" w14:textId="7989A92A" w:rsidR="00BC5BA0" w:rsidRPr="00692D33" w:rsidRDefault="00BC5BA0" w:rsidP="00B33BD5">
      <w:pPr>
        <w:pStyle w:val="Caption"/>
        <w:keepNext/>
        <w:jc w:val="center"/>
      </w:pPr>
      <w:r w:rsidRPr="00692D33">
        <w:t xml:space="preserve">Table </w:t>
      </w:r>
      <w:r w:rsidRPr="00692D33">
        <w:fldChar w:fldCharType="begin"/>
      </w:r>
      <w:r w:rsidRPr="00692D33">
        <w:instrText xml:space="preserve"> SEQ Table \* ARABIC </w:instrText>
      </w:r>
      <w:r w:rsidRPr="00692D33">
        <w:fldChar w:fldCharType="separate"/>
      </w:r>
      <w:r w:rsidR="002A1E25" w:rsidRPr="00692D33">
        <w:rPr>
          <w:noProof/>
        </w:rPr>
        <w:t>10</w:t>
      </w:r>
      <w:r w:rsidRPr="00692D33">
        <w:fldChar w:fldCharType="end"/>
      </w:r>
      <w:r w:rsidRPr="00692D33">
        <w:t>. 5%-tile throughput loss compared to 25.2 dBm UE peak EIRP</w:t>
      </w:r>
    </w:p>
    <w:tbl>
      <w:tblPr>
        <w:tblW w:w="0" w:type="auto"/>
        <w:tblLook w:val="04A0" w:firstRow="1" w:lastRow="0" w:firstColumn="1" w:lastColumn="0" w:noHBand="0" w:noVBand="1"/>
      </w:tblPr>
      <w:tblGrid>
        <w:gridCol w:w="3039"/>
        <w:gridCol w:w="1231"/>
        <w:gridCol w:w="1231"/>
        <w:gridCol w:w="1231"/>
        <w:gridCol w:w="1231"/>
      </w:tblGrid>
      <w:tr w:rsidR="00BC5BA0" w:rsidRPr="00692D33" w14:paraId="6D509DF2" w14:textId="77777777" w:rsidTr="00BC5BA0">
        <w:trPr>
          <w:trHeight w:val="330"/>
        </w:trPr>
        <w:tc>
          <w:tcPr>
            <w:tcW w:w="0" w:type="auto"/>
            <w:tcBorders>
              <w:top w:val="nil"/>
              <w:left w:val="nil"/>
              <w:bottom w:val="single" w:sz="8" w:space="0" w:color="auto"/>
              <w:right w:val="nil"/>
            </w:tcBorders>
            <w:shd w:val="clear" w:color="auto" w:fill="auto"/>
            <w:noWrap/>
            <w:vAlign w:val="bottom"/>
            <w:hideMark/>
          </w:tcPr>
          <w:p w14:paraId="794FF5C8" w14:textId="2D418FAA" w:rsidR="00BC5BA0" w:rsidRPr="00692D33" w:rsidRDefault="00BC5BA0" w:rsidP="00B33BD5">
            <w:pPr>
              <w:spacing w:after="0"/>
              <w:jc w:val="center"/>
              <w:rPr>
                <w:b/>
                <w:bCs/>
                <w:color w:val="000000"/>
                <w:lang w:val="en-US"/>
              </w:rPr>
            </w:pPr>
          </w:p>
        </w:tc>
        <w:tc>
          <w:tcPr>
            <w:tcW w:w="0" w:type="auto"/>
            <w:gridSpan w:val="4"/>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0B94FA3D" w14:textId="77777777" w:rsidR="00BC5BA0" w:rsidRPr="00692D33" w:rsidRDefault="00BC5BA0" w:rsidP="00B33BD5">
            <w:pPr>
              <w:spacing w:after="0"/>
              <w:jc w:val="center"/>
              <w:rPr>
                <w:b/>
                <w:bCs/>
                <w:color w:val="000000"/>
                <w:lang w:val="en-US"/>
              </w:rPr>
            </w:pPr>
            <w:r w:rsidRPr="00692D33">
              <w:rPr>
                <w:b/>
                <w:bCs/>
                <w:color w:val="000000"/>
                <w:lang w:val="en-US"/>
              </w:rPr>
              <w:t>5%-tile throughput loss compared to 25.2 dBm EIRP</w:t>
            </w:r>
          </w:p>
        </w:tc>
      </w:tr>
      <w:tr w:rsidR="00BC5BA0" w:rsidRPr="00692D33" w14:paraId="74D67FC0" w14:textId="77777777" w:rsidTr="00BC5BA0">
        <w:trPr>
          <w:trHeight w:val="330"/>
        </w:trPr>
        <w:tc>
          <w:tcPr>
            <w:tcW w:w="0" w:type="auto"/>
            <w:tcBorders>
              <w:top w:val="nil"/>
              <w:left w:val="single" w:sz="8" w:space="0" w:color="auto"/>
              <w:bottom w:val="single" w:sz="8" w:space="0" w:color="auto"/>
              <w:right w:val="nil"/>
            </w:tcBorders>
            <w:shd w:val="clear" w:color="auto" w:fill="auto"/>
            <w:noWrap/>
            <w:vAlign w:val="bottom"/>
            <w:hideMark/>
          </w:tcPr>
          <w:p w14:paraId="48C83810" w14:textId="77777777" w:rsidR="00BC5BA0" w:rsidRPr="00692D33" w:rsidRDefault="00BC5BA0" w:rsidP="00B33BD5">
            <w:pPr>
              <w:spacing w:after="0"/>
              <w:jc w:val="center"/>
              <w:rPr>
                <w:b/>
                <w:bCs/>
                <w:color w:val="000000"/>
                <w:lang w:val="en-US"/>
              </w:rPr>
            </w:pPr>
            <w:r w:rsidRPr="00692D33">
              <w:rPr>
                <w:b/>
                <w:bCs/>
                <w:color w:val="000000"/>
                <w:lang w:val="en-US"/>
              </w:rPr>
              <w:t>Max EIRP [dBm] - % indoor UE</w:t>
            </w:r>
          </w:p>
        </w:tc>
        <w:tc>
          <w:tcPr>
            <w:tcW w:w="0" w:type="auto"/>
            <w:tcBorders>
              <w:top w:val="nil"/>
              <w:left w:val="single" w:sz="8" w:space="0" w:color="auto"/>
              <w:bottom w:val="single" w:sz="8" w:space="0" w:color="auto"/>
              <w:right w:val="single" w:sz="4" w:space="0" w:color="auto"/>
            </w:tcBorders>
            <w:shd w:val="clear" w:color="auto" w:fill="auto"/>
            <w:noWrap/>
            <w:vAlign w:val="bottom"/>
            <w:hideMark/>
          </w:tcPr>
          <w:p w14:paraId="441B8E10" w14:textId="77777777" w:rsidR="00BC5BA0" w:rsidRPr="00692D33" w:rsidRDefault="00BC5BA0" w:rsidP="00B33BD5">
            <w:pPr>
              <w:spacing w:after="0"/>
              <w:jc w:val="center"/>
              <w:rPr>
                <w:b/>
                <w:bCs/>
                <w:color w:val="000000"/>
                <w:lang w:val="en-US"/>
              </w:rPr>
            </w:pPr>
            <w:r w:rsidRPr="00692D33">
              <w:rPr>
                <w:b/>
                <w:bCs/>
                <w:color w:val="000000"/>
                <w:lang w:val="en-US"/>
              </w:rPr>
              <w:t>ISD = 200m</w:t>
            </w:r>
          </w:p>
        </w:tc>
        <w:tc>
          <w:tcPr>
            <w:tcW w:w="0" w:type="auto"/>
            <w:tcBorders>
              <w:top w:val="nil"/>
              <w:left w:val="nil"/>
              <w:bottom w:val="single" w:sz="8" w:space="0" w:color="auto"/>
              <w:right w:val="single" w:sz="4" w:space="0" w:color="auto"/>
            </w:tcBorders>
            <w:shd w:val="clear" w:color="auto" w:fill="auto"/>
            <w:noWrap/>
            <w:vAlign w:val="bottom"/>
            <w:hideMark/>
          </w:tcPr>
          <w:p w14:paraId="7025C3E4" w14:textId="77777777" w:rsidR="00BC5BA0" w:rsidRPr="00692D33" w:rsidRDefault="00BC5BA0" w:rsidP="00B33BD5">
            <w:pPr>
              <w:spacing w:after="0"/>
              <w:jc w:val="center"/>
              <w:rPr>
                <w:b/>
                <w:bCs/>
                <w:color w:val="000000"/>
                <w:lang w:val="en-US"/>
              </w:rPr>
            </w:pPr>
            <w:r w:rsidRPr="00692D33">
              <w:rPr>
                <w:b/>
                <w:bCs/>
                <w:color w:val="000000"/>
                <w:lang w:val="en-US"/>
              </w:rPr>
              <w:t>ISD = 300m</w:t>
            </w:r>
          </w:p>
        </w:tc>
        <w:tc>
          <w:tcPr>
            <w:tcW w:w="0" w:type="auto"/>
            <w:tcBorders>
              <w:top w:val="nil"/>
              <w:left w:val="nil"/>
              <w:bottom w:val="single" w:sz="8" w:space="0" w:color="auto"/>
              <w:right w:val="single" w:sz="4" w:space="0" w:color="auto"/>
            </w:tcBorders>
            <w:shd w:val="clear" w:color="auto" w:fill="auto"/>
            <w:noWrap/>
            <w:vAlign w:val="bottom"/>
            <w:hideMark/>
          </w:tcPr>
          <w:p w14:paraId="73D8F7FD" w14:textId="77777777" w:rsidR="00BC5BA0" w:rsidRPr="00692D33" w:rsidRDefault="00BC5BA0" w:rsidP="00B33BD5">
            <w:pPr>
              <w:spacing w:after="0"/>
              <w:jc w:val="center"/>
              <w:rPr>
                <w:b/>
                <w:bCs/>
                <w:color w:val="000000"/>
                <w:lang w:val="en-US"/>
              </w:rPr>
            </w:pPr>
            <w:r w:rsidRPr="00692D33">
              <w:rPr>
                <w:b/>
                <w:bCs/>
                <w:color w:val="000000"/>
                <w:lang w:val="en-US"/>
              </w:rPr>
              <w:t>ISD = 400m</w:t>
            </w:r>
          </w:p>
        </w:tc>
        <w:tc>
          <w:tcPr>
            <w:tcW w:w="0" w:type="auto"/>
            <w:tcBorders>
              <w:top w:val="nil"/>
              <w:left w:val="nil"/>
              <w:bottom w:val="single" w:sz="8" w:space="0" w:color="auto"/>
              <w:right w:val="single" w:sz="8" w:space="0" w:color="auto"/>
            </w:tcBorders>
            <w:shd w:val="clear" w:color="auto" w:fill="auto"/>
            <w:noWrap/>
            <w:vAlign w:val="bottom"/>
            <w:hideMark/>
          </w:tcPr>
          <w:p w14:paraId="65AE8FFB" w14:textId="77777777" w:rsidR="00BC5BA0" w:rsidRPr="00692D33" w:rsidRDefault="00BC5BA0" w:rsidP="00B33BD5">
            <w:pPr>
              <w:spacing w:after="0"/>
              <w:jc w:val="center"/>
              <w:rPr>
                <w:b/>
                <w:bCs/>
                <w:color w:val="000000"/>
                <w:lang w:val="en-US"/>
              </w:rPr>
            </w:pPr>
            <w:r w:rsidRPr="00692D33">
              <w:rPr>
                <w:b/>
                <w:bCs/>
                <w:color w:val="000000"/>
                <w:lang w:val="en-US"/>
              </w:rPr>
              <w:t>ISD = 500m</w:t>
            </w:r>
          </w:p>
        </w:tc>
      </w:tr>
      <w:tr w:rsidR="00BC5BA0" w:rsidRPr="00692D33" w14:paraId="18FA0BF3" w14:textId="77777777" w:rsidTr="00BC5BA0">
        <w:trPr>
          <w:trHeight w:val="330"/>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63EFD458" w14:textId="77777777" w:rsidR="00BC5BA0" w:rsidRPr="00692D33" w:rsidRDefault="00BC5BA0" w:rsidP="00B33BD5">
            <w:pPr>
              <w:spacing w:after="0"/>
              <w:jc w:val="center"/>
              <w:rPr>
                <w:b/>
                <w:bCs/>
                <w:color w:val="000000"/>
                <w:lang w:val="en-US"/>
              </w:rPr>
            </w:pPr>
            <w:r w:rsidRPr="00692D33">
              <w:rPr>
                <w:b/>
                <w:bCs/>
                <w:color w:val="000000"/>
                <w:lang w:val="en-US"/>
              </w:rPr>
              <w:t>21.2 dBm - 0%</w:t>
            </w:r>
          </w:p>
        </w:tc>
        <w:tc>
          <w:tcPr>
            <w:tcW w:w="0" w:type="auto"/>
            <w:tcBorders>
              <w:top w:val="nil"/>
              <w:left w:val="nil"/>
              <w:bottom w:val="single" w:sz="8" w:space="0" w:color="auto"/>
              <w:right w:val="single" w:sz="4" w:space="0" w:color="auto"/>
            </w:tcBorders>
            <w:shd w:val="clear" w:color="auto" w:fill="auto"/>
            <w:noWrap/>
            <w:vAlign w:val="bottom"/>
            <w:hideMark/>
          </w:tcPr>
          <w:p w14:paraId="02B22DE2" w14:textId="77777777" w:rsidR="00BC5BA0" w:rsidRPr="00692D33" w:rsidRDefault="00BC5BA0" w:rsidP="00B33BD5">
            <w:pPr>
              <w:spacing w:after="0"/>
              <w:jc w:val="center"/>
              <w:rPr>
                <w:color w:val="000000"/>
                <w:lang w:val="en-US"/>
              </w:rPr>
            </w:pPr>
            <w:r w:rsidRPr="00692D33">
              <w:rPr>
                <w:color w:val="000000"/>
                <w:lang w:val="en-US"/>
              </w:rPr>
              <w:t>18%</w:t>
            </w:r>
          </w:p>
        </w:tc>
        <w:tc>
          <w:tcPr>
            <w:tcW w:w="0" w:type="auto"/>
            <w:tcBorders>
              <w:top w:val="nil"/>
              <w:left w:val="single" w:sz="8" w:space="0" w:color="auto"/>
              <w:bottom w:val="single" w:sz="8" w:space="0" w:color="auto"/>
              <w:right w:val="single" w:sz="4" w:space="0" w:color="auto"/>
            </w:tcBorders>
            <w:shd w:val="clear" w:color="auto" w:fill="auto"/>
            <w:noWrap/>
            <w:vAlign w:val="bottom"/>
            <w:hideMark/>
          </w:tcPr>
          <w:p w14:paraId="0896D886" w14:textId="77777777" w:rsidR="00BC5BA0" w:rsidRPr="00692D33" w:rsidRDefault="00BC5BA0" w:rsidP="00B33BD5">
            <w:pPr>
              <w:spacing w:after="0"/>
              <w:jc w:val="center"/>
              <w:rPr>
                <w:color w:val="000000"/>
                <w:lang w:val="en-US"/>
              </w:rPr>
            </w:pPr>
            <w:r w:rsidRPr="00692D33">
              <w:rPr>
                <w:color w:val="000000"/>
                <w:lang w:val="en-US"/>
              </w:rPr>
              <w:t>40%</w:t>
            </w:r>
          </w:p>
        </w:tc>
        <w:tc>
          <w:tcPr>
            <w:tcW w:w="0" w:type="auto"/>
            <w:tcBorders>
              <w:top w:val="nil"/>
              <w:left w:val="single" w:sz="8" w:space="0" w:color="auto"/>
              <w:bottom w:val="single" w:sz="8" w:space="0" w:color="auto"/>
              <w:right w:val="single" w:sz="4" w:space="0" w:color="auto"/>
            </w:tcBorders>
            <w:shd w:val="clear" w:color="auto" w:fill="auto"/>
            <w:noWrap/>
            <w:vAlign w:val="bottom"/>
            <w:hideMark/>
          </w:tcPr>
          <w:p w14:paraId="1DFD409C" w14:textId="77777777" w:rsidR="00BC5BA0" w:rsidRPr="00692D33" w:rsidRDefault="00BC5BA0" w:rsidP="00B33BD5">
            <w:pPr>
              <w:spacing w:after="0"/>
              <w:jc w:val="center"/>
              <w:rPr>
                <w:color w:val="000000"/>
                <w:lang w:val="en-US"/>
              </w:rPr>
            </w:pPr>
            <w:r w:rsidRPr="00692D33">
              <w:rPr>
                <w:color w:val="000000"/>
                <w:lang w:val="en-US"/>
              </w:rPr>
              <w:t>51%</w:t>
            </w:r>
          </w:p>
        </w:tc>
        <w:tc>
          <w:tcPr>
            <w:tcW w:w="0" w:type="auto"/>
            <w:tcBorders>
              <w:top w:val="nil"/>
              <w:left w:val="single" w:sz="8" w:space="0" w:color="auto"/>
              <w:bottom w:val="single" w:sz="8" w:space="0" w:color="auto"/>
              <w:right w:val="single" w:sz="4" w:space="0" w:color="auto"/>
            </w:tcBorders>
            <w:shd w:val="clear" w:color="auto" w:fill="auto"/>
            <w:noWrap/>
            <w:vAlign w:val="bottom"/>
            <w:hideMark/>
          </w:tcPr>
          <w:p w14:paraId="17A4666C" w14:textId="77777777" w:rsidR="00BC5BA0" w:rsidRPr="00692D33" w:rsidRDefault="00BC5BA0" w:rsidP="00B33BD5">
            <w:pPr>
              <w:spacing w:after="0"/>
              <w:jc w:val="center"/>
              <w:rPr>
                <w:color w:val="000000"/>
                <w:lang w:val="en-US"/>
              </w:rPr>
            </w:pPr>
            <w:r w:rsidRPr="00692D33">
              <w:rPr>
                <w:color w:val="000000"/>
                <w:lang w:val="en-US"/>
              </w:rPr>
              <w:t>55%</w:t>
            </w:r>
          </w:p>
        </w:tc>
      </w:tr>
      <w:tr w:rsidR="00BC5BA0" w:rsidRPr="00692D33" w14:paraId="4BFD4A36" w14:textId="77777777" w:rsidTr="009C042B">
        <w:trPr>
          <w:trHeight w:val="330"/>
        </w:trPr>
        <w:tc>
          <w:tcPr>
            <w:tcW w:w="0" w:type="auto"/>
            <w:tcBorders>
              <w:top w:val="nil"/>
              <w:left w:val="single" w:sz="8" w:space="0" w:color="auto"/>
              <w:bottom w:val="single" w:sz="4" w:space="0" w:color="auto"/>
              <w:right w:val="nil"/>
            </w:tcBorders>
            <w:shd w:val="clear" w:color="auto" w:fill="auto"/>
            <w:noWrap/>
            <w:vAlign w:val="bottom"/>
            <w:hideMark/>
          </w:tcPr>
          <w:p w14:paraId="4BA928C7" w14:textId="77777777" w:rsidR="00BC5BA0" w:rsidRPr="00692D33" w:rsidRDefault="00BC5BA0" w:rsidP="00B33BD5">
            <w:pPr>
              <w:spacing w:after="0"/>
              <w:jc w:val="center"/>
              <w:rPr>
                <w:b/>
                <w:bCs/>
                <w:color w:val="000000"/>
                <w:lang w:val="en-US"/>
              </w:rPr>
            </w:pPr>
            <w:r w:rsidRPr="00692D33">
              <w:rPr>
                <w:b/>
                <w:bCs/>
                <w:color w:val="000000"/>
                <w:lang w:val="en-US"/>
              </w:rPr>
              <w:t>21.2 dBm - 20%</w:t>
            </w:r>
          </w:p>
        </w:tc>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338E4508" w14:textId="77777777" w:rsidR="00BC5BA0" w:rsidRPr="00692D33" w:rsidRDefault="00BC5BA0" w:rsidP="00B33BD5">
            <w:pPr>
              <w:spacing w:after="0"/>
              <w:jc w:val="center"/>
              <w:rPr>
                <w:color w:val="000000"/>
                <w:lang w:val="en-US"/>
              </w:rPr>
            </w:pPr>
            <w:r w:rsidRPr="00692D33">
              <w:rPr>
                <w:color w:val="000000"/>
                <w:lang w:val="en-US"/>
              </w:rPr>
              <w:t>100%</w:t>
            </w:r>
          </w:p>
        </w:tc>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73FB00E5" w14:textId="0C5CB19C" w:rsidR="00BC5BA0" w:rsidRPr="00692D33" w:rsidRDefault="00BC5BA0" w:rsidP="00B33BD5">
            <w:pPr>
              <w:spacing w:after="0"/>
              <w:jc w:val="center"/>
              <w:rPr>
                <w:color w:val="000000"/>
                <w:lang w:val="en-US"/>
              </w:rPr>
            </w:pPr>
            <w:r w:rsidRPr="00692D33">
              <w:rPr>
                <w:color w:val="000000"/>
                <w:lang w:val="en-US"/>
              </w:rPr>
              <w:t>N.A.</w:t>
            </w:r>
          </w:p>
        </w:tc>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7F5E4BD8" w14:textId="45D657F6" w:rsidR="00BC5BA0" w:rsidRPr="00692D33" w:rsidRDefault="00BC5BA0" w:rsidP="00B33BD5">
            <w:pPr>
              <w:spacing w:after="0"/>
              <w:jc w:val="center"/>
              <w:rPr>
                <w:color w:val="000000"/>
                <w:lang w:val="en-US"/>
              </w:rPr>
            </w:pPr>
            <w:r w:rsidRPr="00692D33">
              <w:rPr>
                <w:color w:val="000000"/>
                <w:lang w:val="en-US"/>
              </w:rPr>
              <w:t>N.A.</w:t>
            </w:r>
          </w:p>
        </w:tc>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5F90AB02" w14:textId="285F99BF" w:rsidR="00BC5BA0" w:rsidRPr="00692D33" w:rsidRDefault="00BC5BA0" w:rsidP="00B33BD5">
            <w:pPr>
              <w:spacing w:after="0"/>
              <w:jc w:val="center"/>
              <w:rPr>
                <w:color w:val="000000"/>
                <w:lang w:val="en-US"/>
              </w:rPr>
            </w:pPr>
            <w:r w:rsidRPr="00692D33">
              <w:rPr>
                <w:color w:val="000000"/>
                <w:lang w:val="en-US"/>
              </w:rPr>
              <w:t>N.A.</w:t>
            </w:r>
          </w:p>
        </w:tc>
      </w:tr>
      <w:tr w:rsidR="00FA6ABF" w:rsidRPr="00692D33" w14:paraId="03AD2021" w14:textId="77777777" w:rsidTr="009C042B">
        <w:trPr>
          <w:trHeight w:val="330"/>
        </w:trPr>
        <w:tc>
          <w:tcPr>
            <w:tcW w:w="0" w:type="auto"/>
            <w:tcBorders>
              <w:top w:val="single" w:sz="4" w:space="0" w:color="auto"/>
              <w:left w:val="single" w:sz="8" w:space="0" w:color="auto"/>
              <w:bottom w:val="single" w:sz="8" w:space="0" w:color="auto"/>
              <w:right w:val="nil"/>
            </w:tcBorders>
            <w:shd w:val="clear" w:color="auto" w:fill="auto"/>
            <w:noWrap/>
            <w:vAlign w:val="bottom"/>
          </w:tcPr>
          <w:p w14:paraId="0D92F2AB" w14:textId="72239487" w:rsidR="00FA6ABF" w:rsidRPr="00692D33" w:rsidRDefault="00FA6ABF" w:rsidP="00B33BD5">
            <w:pPr>
              <w:spacing w:after="0"/>
              <w:jc w:val="center"/>
              <w:rPr>
                <w:b/>
                <w:bCs/>
                <w:color w:val="000000"/>
                <w:lang w:val="en-US"/>
              </w:rPr>
            </w:pPr>
            <w:r w:rsidRPr="00692D33">
              <w:rPr>
                <w:b/>
                <w:bCs/>
                <w:color w:val="000000"/>
                <w:lang w:val="en-US"/>
              </w:rPr>
              <w:t>21.2 dBm - 80%</w:t>
            </w:r>
          </w:p>
        </w:tc>
        <w:tc>
          <w:tcPr>
            <w:tcW w:w="0" w:type="auto"/>
            <w:tcBorders>
              <w:top w:val="single" w:sz="4" w:space="0" w:color="auto"/>
              <w:left w:val="single" w:sz="8" w:space="0" w:color="auto"/>
              <w:bottom w:val="single" w:sz="8" w:space="0" w:color="auto"/>
              <w:right w:val="single" w:sz="4" w:space="0" w:color="auto"/>
            </w:tcBorders>
            <w:shd w:val="clear" w:color="auto" w:fill="auto"/>
            <w:noWrap/>
            <w:vAlign w:val="bottom"/>
          </w:tcPr>
          <w:p w14:paraId="597449E2" w14:textId="67EF1353" w:rsidR="00FA6ABF" w:rsidRPr="00692D33" w:rsidRDefault="00FA6ABF" w:rsidP="00B33BD5">
            <w:pPr>
              <w:spacing w:after="0"/>
              <w:jc w:val="center"/>
              <w:rPr>
                <w:color w:val="000000"/>
                <w:lang w:val="en-US"/>
              </w:rPr>
            </w:pPr>
            <w:r w:rsidRPr="00692D33">
              <w:rPr>
                <w:color w:val="000000"/>
                <w:lang w:val="en-US"/>
              </w:rPr>
              <w:t>N.A.</w:t>
            </w:r>
          </w:p>
        </w:tc>
        <w:tc>
          <w:tcPr>
            <w:tcW w:w="0" w:type="auto"/>
            <w:tcBorders>
              <w:top w:val="single" w:sz="4" w:space="0" w:color="auto"/>
              <w:left w:val="single" w:sz="8" w:space="0" w:color="auto"/>
              <w:bottom w:val="single" w:sz="8" w:space="0" w:color="auto"/>
              <w:right w:val="single" w:sz="4" w:space="0" w:color="auto"/>
            </w:tcBorders>
            <w:shd w:val="clear" w:color="auto" w:fill="auto"/>
            <w:noWrap/>
            <w:vAlign w:val="bottom"/>
          </w:tcPr>
          <w:p w14:paraId="5D43530B" w14:textId="59C552DC" w:rsidR="00FA6ABF" w:rsidRPr="00692D33" w:rsidRDefault="00FA6ABF" w:rsidP="00B33BD5">
            <w:pPr>
              <w:spacing w:after="0"/>
              <w:jc w:val="center"/>
              <w:rPr>
                <w:color w:val="000000"/>
                <w:lang w:val="en-US"/>
              </w:rPr>
            </w:pPr>
            <w:r w:rsidRPr="00692D33">
              <w:rPr>
                <w:color w:val="000000"/>
                <w:lang w:val="en-US"/>
              </w:rPr>
              <w:t>N.A.</w:t>
            </w:r>
          </w:p>
        </w:tc>
        <w:tc>
          <w:tcPr>
            <w:tcW w:w="0" w:type="auto"/>
            <w:tcBorders>
              <w:top w:val="single" w:sz="4" w:space="0" w:color="auto"/>
              <w:left w:val="single" w:sz="8" w:space="0" w:color="auto"/>
              <w:bottom w:val="single" w:sz="8" w:space="0" w:color="auto"/>
              <w:right w:val="single" w:sz="4" w:space="0" w:color="auto"/>
            </w:tcBorders>
            <w:shd w:val="clear" w:color="auto" w:fill="auto"/>
            <w:noWrap/>
            <w:vAlign w:val="bottom"/>
          </w:tcPr>
          <w:p w14:paraId="7AD5B511" w14:textId="0208977E" w:rsidR="00FA6ABF" w:rsidRPr="00692D33" w:rsidRDefault="00FA6ABF" w:rsidP="00B33BD5">
            <w:pPr>
              <w:spacing w:after="0"/>
              <w:jc w:val="center"/>
              <w:rPr>
                <w:color w:val="000000"/>
                <w:lang w:val="en-US"/>
              </w:rPr>
            </w:pPr>
            <w:r w:rsidRPr="00692D33">
              <w:rPr>
                <w:color w:val="000000"/>
                <w:lang w:val="en-US"/>
              </w:rPr>
              <w:t>N.A.</w:t>
            </w:r>
          </w:p>
        </w:tc>
        <w:tc>
          <w:tcPr>
            <w:tcW w:w="0" w:type="auto"/>
            <w:tcBorders>
              <w:top w:val="single" w:sz="4" w:space="0" w:color="auto"/>
              <w:left w:val="single" w:sz="8" w:space="0" w:color="auto"/>
              <w:bottom w:val="single" w:sz="8" w:space="0" w:color="auto"/>
              <w:right w:val="single" w:sz="4" w:space="0" w:color="auto"/>
            </w:tcBorders>
            <w:shd w:val="clear" w:color="auto" w:fill="auto"/>
            <w:noWrap/>
            <w:vAlign w:val="bottom"/>
          </w:tcPr>
          <w:p w14:paraId="739058D7" w14:textId="1EA880E3" w:rsidR="00FA6ABF" w:rsidRPr="00692D33" w:rsidRDefault="00FA6ABF" w:rsidP="00B33BD5">
            <w:pPr>
              <w:spacing w:after="0"/>
              <w:jc w:val="center"/>
              <w:rPr>
                <w:color w:val="000000"/>
                <w:lang w:val="en-US"/>
              </w:rPr>
            </w:pPr>
            <w:r w:rsidRPr="00692D33">
              <w:rPr>
                <w:color w:val="000000"/>
                <w:lang w:val="en-US"/>
              </w:rPr>
              <w:t>N.A.</w:t>
            </w:r>
          </w:p>
        </w:tc>
      </w:tr>
    </w:tbl>
    <w:p w14:paraId="358C40E4" w14:textId="77777777" w:rsidR="00BC5BA0" w:rsidRPr="00692D33" w:rsidRDefault="00BC5BA0" w:rsidP="00B33BD5">
      <w:pPr>
        <w:jc w:val="center"/>
      </w:pPr>
    </w:p>
    <w:p w14:paraId="60A243B1" w14:textId="41CD9F64" w:rsidR="00BC5BA0" w:rsidRPr="00692D33" w:rsidRDefault="00BC5BA0" w:rsidP="00B33BD5">
      <w:pPr>
        <w:pStyle w:val="Caption"/>
        <w:keepNext/>
        <w:jc w:val="center"/>
      </w:pPr>
      <w:r w:rsidRPr="00692D33">
        <w:t xml:space="preserve">Table </w:t>
      </w:r>
      <w:r w:rsidRPr="00692D33">
        <w:fldChar w:fldCharType="begin"/>
      </w:r>
      <w:r w:rsidRPr="00692D33">
        <w:instrText xml:space="preserve"> SEQ Table \* ARABIC </w:instrText>
      </w:r>
      <w:r w:rsidRPr="00692D33">
        <w:fldChar w:fldCharType="separate"/>
      </w:r>
      <w:r w:rsidR="002A1E25" w:rsidRPr="00692D33">
        <w:rPr>
          <w:noProof/>
        </w:rPr>
        <w:t>11</w:t>
      </w:r>
      <w:r w:rsidRPr="00692D33">
        <w:fldChar w:fldCharType="end"/>
      </w:r>
      <w:r w:rsidRPr="00692D33">
        <w:t>. Outage comparison for different UE peak EIRP values and different % of indoor UE</w:t>
      </w:r>
    </w:p>
    <w:tbl>
      <w:tblPr>
        <w:tblW w:w="0" w:type="auto"/>
        <w:jc w:val="center"/>
        <w:tblLook w:val="04A0" w:firstRow="1" w:lastRow="0" w:firstColumn="1" w:lastColumn="0" w:noHBand="0" w:noVBand="1"/>
      </w:tblPr>
      <w:tblGrid>
        <w:gridCol w:w="3039"/>
        <w:gridCol w:w="1231"/>
        <w:gridCol w:w="1231"/>
        <w:gridCol w:w="1231"/>
        <w:gridCol w:w="1231"/>
      </w:tblGrid>
      <w:tr w:rsidR="00BC5BA0" w:rsidRPr="00692D33" w14:paraId="5C14476E" w14:textId="77777777" w:rsidTr="00B33BD5">
        <w:trPr>
          <w:trHeight w:val="330"/>
          <w:jc w:val="center"/>
        </w:trPr>
        <w:tc>
          <w:tcPr>
            <w:tcW w:w="0" w:type="auto"/>
            <w:tcBorders>
              <w:top w:val="nil"/>
              <w:left w:val="nil"/>
              <w:bottom w:val="nil"/>
              <w:right w:val="nil"/>
            </w:tcBorders>
            <w:shd w:val="clear" w:color="auto" w:fill="auto"/>
            <w:noWrap/>
            <w:vAlign w:val="bottom"/>
            <w:hideMark/>
          </w:tcPr>
          <w:p w14:paraId="06765935" w14:textId="77777777" w:rsidR="00BC5BA0" w:rsidRPr="00692D33" w:rsidRDefault="00BC5BA0" w:rsidP="00B33BD5">
            <w:pPr>
              <w:spacing w:after="0"/>
              <w:jc w:val="center"/>
              <w:rPr>
                <w:lang w:val="en-US"/>
              </w:rPr>
            </w:pPr>
          </w:p>
        </w:tc>
        <w:tc>
          <w:tcPr>
            <w:tcW w:w="0" w:type="auto"/>
            <w:gridSpan w:val="4"/>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0548FCBB" w14:textId="77777777" w:rsidR="00BC5BA0" w:rsidRPr="00692D33" w:rsidRDefault="00BC5BA0" w:rsidP="00B33BD5">
            <w:pPr>
              <w:spacing w:after="0"/>
              <w:jc w:val="center"/>
              <w:rPr>
                <w:b/>
                <w:bCs/>
                <w:color w:val="000000"/>
                <w:lang w:val="en-US"/>
              </w:rPr>
            </w:pPr>
            <w:r w:rsidRPr="00692D33">
              <w:rPr>
                <w:b/>
                <w:bCs/>
                <w:color w:val="000000"/>
                <w:lang w:val="en-US"/>
              </w:rPr>
              <w:t>Outage</w:t>
            </w:r>
          </w:p>
        </w:tc>
      </w:tr>
      <w:tr w:rsidR="00BC5BA0" w:rsidRPr="00692D33" w14:paraId="58F62369" w14:textId="77777777" w:rsidTr="00B33BD5">
        <w:trPr>
          <w:trHeight w:val="330"/>
          <w:jc w:val="center"/>
        </w:trPr>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11053B54" w14:textId="77777777" w:rsidR="00BC5BA0" w:rsidRPr="00692D33" w:rsidRDefault="00BC5BA0" w:rsidP="00B33BD5">
            <w:pPr>
              <w:spacing w:after="0"/>
              <w:jc w:val="center"/>
              <w:rPr>
                <w:b/>
                <w:bCs/>
                <w:color w:val="000000"/>
                <w:lang w:val="en-US"/>
              </w:rPr>
            </w:pPr>
            <w:r w:rsidRPr="00692D33">
              <w:rPr>
                <w:b/>
                <w:bCs/>
                <w:color w:val="000000"/>
                <w:lang w:val="en-US"/>
              </w:rPr>
              <w:t>Max EIRP [dBm] - % indoor UE</w:t>
            </w:r>
          </w:p>
        </w:tc>
        <w:tc>
          <w:tcPr>
            <w:tcW w:w="0" w:type="auto"/>
            <w:tcBorders>
              <w:top w:val="nil"/>
              <w:left w:val="nil"/>
              <w:bottom w:val="single" w:sz="8" w:space="0" w:color="auto"/>
              <w:right w:val="single" w:sz="4" w:space="0" w:color="auto"/>
            </w:tcBorders>
            <w:shd w:val="clear" w:color="auto" w:fill="auto"/>
            <w:noWrap/>
            <w:vAlign w:val="bottom"/>
            <w:hideMark/>
          </w:tcPr>
          <w:p w14:paraId="10C1BC5E" w14:textId="77777777" w:rsidR="00BC5BA0" w:rsidRPr="00692D33" w:rsidRDefault="00BC5BA0" w:rsidP="00B33BD5">
            <w:pPr>
              <w:spacing w:after="0"/>
              <w:jc w:val="center"/>
              <w:rPr>
                <w:b/>
                <w:bCs/>
                <w:color w:val="000000"/>
                <w:lang w:val="en-US"/>
              </w:rPr>
            </w:pPr>
            <w:r w:rsidRPr="00692D33">
              <w:rPr>
                <w:b/>
                <w:bCs/>
                <w:color w:val="000000"/>
                <w:lang w:val="en-US"/>
              </w:rPr>
              <w:t>ISD = 200m</w:t>
            </w:r>
          </w:p>
        </w:tc>
        <w:tc>
          <w:tcPr>
            <w:tcW w:w="0" w:type="auto"/>
            <w:tcBorders>
              <w:top w:val="nil"/>
              <w:left w:val="nil"/>
              <w:bottom w:val="single" w:sz="8" w:space="0" w:color="auto"/>
              <w:right w:val="single" w:sz="4" w:space="0" w:color="auto"/>
            </w:tcBorders>
            <w:shd w:val="clear" w:color="auto" w:fill="auto"/>
            <w:noWrap/>
            <w:vAlign w:val="bottom"/>
            <w:hideMark/>
          </w:tcPr>
          <w:p w14:paraId="7364141F" w14:textId="77777777" w:rsidR="00BC5BA0" w:rsidRPr="00692D33" w:rsidRDefault="00BC5BA0" w:rsidP="00B33BD5">
            <w:pPr>
              <w:spacing w:after="0"/>
              <w:jc w:val="center"/>
              <w:rPr>
                <w:b/>
                <w:bCs/>
                <w:color w:val="000000"/>
                <w:lang w:val="en-US"/>
              </w:rPr>
            </w:pPr>
            <w:r w:rsidRPr="00692D33">
              <w:rPr>
                <w:b/>
                <w:bCs/>
                <w:color w:val="000000"/>
                <w:lang w:val="en-US"/>
              </w:rPr>
              <w:t>ISD = 300m</w:t>
            </w:r>
          </w:p>
        </w:tc>
        <w:tc>
          <w:tcPr>
            <w:tcW w:w="0" w:type="auto"/>
            <w:tcBorders>
              <w:top w:val="nil"/>
              <w:left w:val="nil"/>
              <w:bottom w:val="single" w:sz="8" w:space="0" w:color="auto"/>
              <w:right w:val="single" w:sz="4" w:space="0" w:color="auto"/>
            </w:tcBorders>
            <w:shd w:val="clear" w:color="auto" w:fill="auto"/>
            <w:noWrap/>
            <w:vAlign w:val="bottom"/>
            <w:hideMark/>
          </w:tcPr>
          <w:p w14:paraId="6164EF62" w14:textId="77777777" w:rsidR="00BC5BA0" w:rsidRPr="00692D33" w:rsidRDefault="00BC5BA0" w:rsidP="00B33BD5">
            <w:pPr>
              <w:spacing w:after="0"/>
              <w:jc w:val="center"/>
              <w:rPr>
                <w:b/>
                <w:bCs/>
                <w:color w:val="000000"/>
                <w:lang w:val="en-US"/>
              </w:rPr>
            </w:pPr>
            <w:r w:rsidRPr="00692D33">
              <w:rPr>
                <w:b/>
                <w:bCs/>
                <w:color w:val="000000"/>
                <w:lang w:val="en-US"/>
              </w:rPr>
              <w:t>ISD = 400m</w:t>
            </w:r>
          </w:p>
        </w:tc>
        <w:tc>
          <w:tcPr>
            <w:tcW w:w="0" w:type="auto"/>
            <w:tcBorders>
              <w:top w:val="nil"/>
              <w:left w:val="nil"/>
              <w:bottom w:val="single" w:sz="8" w:space="0" w:color="auto"/>
              <w:right w:val="single" w:sz="8" w:space="0" w:color="auto"/>
            </w:tcBorders>
            <w:shd w:val="clear" w:color="auto" w:fill="auto"/>
            <w:noWrap/>
            <w:vAlign w:val="bottom"/>
            <w:hideMark/>
          </w:tcPr>
          <w:p w14:paraId="784061D5" w14:textId="77777777" w:rsidR="00BC5BA0" w:rsidRPr="00692D33" w:rsidRDefault="00BC5BA0" w:rsidP="00B33BD5">
            <w:pPr>
              <w:spacing w:after="0"/>
              <w:jc w:val="center"/>
              <w:rPr>
                <w:b/>
                <w:bCs/>
                <w:color w:val="000000"/>
                <w:lang w:val="en-US"/>
              </w:rPr>
            </w:pPr>
            <w:r w:rsidRPr="00692D33">
              <w:rPr>
                <w:b/>
                <w:bCs/>
                <w:color w:val="000000"/>
                <w:lang w:val="en-US"/>
              </w:rPr>
              <w:t>ISD = 500m</w:t>
            </w:r>
          </w:p>
        </w:tc>
      </w:tr>
      <w:tr w:rsidR="00BC5BA0" w:rsidRPr="00692D33" w14:paraId="190C6A5C" w14:textId="77777777" w:rsidTr="00B33BD5">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75B956DF" w14:textId="77777777" w:rsidR="00BC5BA0" w:rsidRPr="00692D33" w:rsidRDefault="00BC5BA0" w:rsidP="00B33BD5">
            <w:pPr>
              <w:spacing w:after="0"/>
              <w:jc w:val="center"/>
              <w:rPr>
                <w:b/>
                <w:bCs/>
                <w:color w:val="000000"/>
                <w:lang w:val="en-US"/>
              </w:rPr>
            </w:pPr>
            <w:r w:rsidRPr="00692D33">
              <w:rPr>
                <w:b/>
                <w:bCs/>
                <w:color w:val="000000"/>
                <w:lang w:val="en-US"/>
              </w:rPr>
              <w:t>25.2 dBm - 0%</w:t>
            </w:r>
          </w:p>
        </w:tc>
        <w:tc>
          <w:tcPr>
            <w:tcW w:w="0" w:type="auto"/>
            <w:tcBorders>
              <w:top w:val="nil"/>
              <w:left w:val="nil"/>
              <w:bottom w:val="single" w:sz="8" w:space="0" w:color="auto"/>
              <w:right w:val="single" w:sz="4" w:space="0" w:color="auto"/>
            </w:tcBorders>
            <w:shd w:val="clear" w:color="auto" w:fill="auto"/>
            <w:noWrap/>
            <w:vAlign w:val="bottom"/>
            <w:hideMark/>
          </w:tcPr>
          <w:p w14:paraId="6246A025" w14:textId="77777777" w:rsidR="00BC5BA0" w:rsidRPr="00692D33" w:rsidRDefault="00BC5BA0" w:rsidP="00B33BD5">
            <w:pPr>
              <w:spacing w:after="0"/>
              <w:jc w:val="center"/>
              <w:rPr>
                <w:color w:val="000000"/>
                <w:lang w:val="en-US"/>
              </w:rPr>
            </w:pPr>
            <w:r w:rsidRPr="00692D33">
              <w:rPr>
                <w:color w:val="000000"/>
                <w:lang w:val="en-US"/>
              </w:rPr>
              <w:t>0%</w:t>
            </w:r>
          </w:p>
        </w:tc>
        <w:tc>
          <w:tcPr>
            <w:tcW w:w="0" w:type="auto"/>
            <w:tcBorders>
              <w:top w:val="nil"/>
              <w:left w:val="single" w:sz="8" w:space="0" w:color="auto"/>
              <w:bottom w:val="single" w:sz="8" w:space="0" w:color="auto"/>
              <w:right w:val="single" w:sz="4" w:space="0" w:color="auto"/>
            </w:tcBorders>
            <w:shd w:val="clear" w:color="auto" w:fill="auto"/>
            <w:noWrap/>
            <w:vAlign w:val="bottom"/>
            <w:hideMark/>
          </w:tcPr>
          <w:p w14:paraId="4A7AA473" w14:textId="77777777" w:rsidR="00BC5BA0" w:rsidRPr="00692D33" w:rsidRDefault="00BC5BA0" w:rsidP="00B33BD5">
            <w:pPr>
              <w:spacing w:after="0"/>
              <w:jc w:val="center"/>
              <w:rPr>
                <w:color w:val="000000"/>
                <w:lang w:val="en-US"/>
              </w:rPr>
            </w:pPr>
            <w:r w:rsidRPr="00692D33">
              <w:rPr>
                <w:color w:val="000000"/>
                <w:lang w:val="en-US"/>
              </w:rPr>
              <w:t>1%</w:t>
            </w:r>
          </w:p>
        </w:tc>
        <w:tc>
          <w:tcPr>
            <w:tcW w:w="0" w:type="auto"/>
            <w:tcBorders>
              <w:top w:val="nil"/>
              <w:left w:val="single" w:sz="8" w:space="0" w:color="auto"/>
              <w:bottom w:val="single" w:sz="8" w:space="0" w:color="auto"/>
              <w:right w:val="single" w:sz="4" w:space="0" w:color="auto"/>
            </w:tcBorders>
            <w:shd w:val="clear" w:color="auto" w:fill="auto"/>
            <w:noWrap/>
            <w:vAlign w:val="bottom"/>
            <w:hideMark/>
          </w:tcPr>
          <w:p w14:paraId="5E03B707" w14:textId="77777777" w:rsidR="00BC5BA0" w:rsidRPr="00692D33" w:rsidRDefault="00BC5BA0" w:rsidP="00B33BD5">
            <w:pPr>
              <w:spacing w:after="0"/>
              <w:jc w:val="center"/>
              <w:rPr>
                <w:color w:val="000000"/>
                <w:lang w:val="en-US"/>
              </w:rPr>
            </w:pPr>
            <w:r w:rsidRPr="00692D33">
              <w:rPr>
                <w:color w:val="000000"/>
                <w:lang w:val="en-US"/>
              </w:rPr>
              <w:t>1%</w:t>
            </w:r>
          </w:p>
        </w:tc>
        <w:tc>
          <w:tcPr>
            <w:tcW w:w="0" w:type="auto"/>
            <w:tcBorders>
              <w:top w:val="nil"/>
              <w:left w:val="single" w:sz="8" w:space="0" w:color="auto"/>
              <w:bottom w:val="single" w:sz="8" w:space="0" w:color="auto"/>
              <w:right w:val="single" w:sz="4" w:space="0" w:color="auto"/>
            </w:tcBorders>
            <w:shd w:val="clear" w:color="auto" w:fill="auto"/>
            <w:noWrap/>
            <w:vAlign w:val="bottom"/>
            <w:hideMark/>
          </w:tcPr>
          <w:p w14:paraId="4F916CEC" w14:textId="77777777" w:rsidR="00BC5BA0" w:rsidRPr="00692D33" w:rsidRDefault="00BC5BA0" w:rsidP="00B33BD5">
            <w:pPr>
              <w:spacing w:after="0"/>
              <w:jc w:val="center"/>
              <w:rPr>
                <w:color w:val="000000"/>
                <w:lang w:val="en-US"/>
              </w:rPr>
            </w:pPr>
            <w:r w:rsidRPr="00692D33">
              <w:rPr>
                <w:color w:val="000000"/>
                <w:lang w:val="en-US"/>
              </w:rPr>
              <w:t>2%</w:t>
            </w:r>
          </w:p>
        </w:tc>
      </w:tr>
      <w:tr w:rsidR="00BC5BA0" w:rsidRPr="00692D33" w14:paraId="48586E9A" w14:textId="77777777" w:rsidTr="00B33BD5">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0C590FFC" w14:textId="77777777" w:rsidR="00BC5BA0" w:rsidRPr="00692D33" w:rsidRDefault="00BC5BA0" w:rsidP="00B33BD5">
            <w:pPr>
              <w:spacing w:after="0"/>
              <w:jc w:val="center"/>
              <w:rPr>
                <w:b/>
                <w:bCs/>
                <w:color w:val="000000"/>
                <w:lang w:val="en-US"/>
              </w:rPr>
            </w:pPr>
            <w:r w:rsidRPr="00692D33">
              <w:rPr>
                <w:b/>
                <w:bCs/>
                <w:color w:val="000000"/>
                <w:lang w:val="en-US"/>
              </w:rPr>
              <w:t>21.2 dBm - 0%</w:t>
            </w:r>
          </w:p>
        </w:tc>
        <w:tc>
          <w:tcPr>
            <w:tcW w:w="0" w:type="auto"/>
            <w:tcBorders>
              <w:top w:val="nil"/>
              <w:left w:val="nil"/>
              <w:bottom w:val="single" w:sz="8" w:space="0" w:color="auto"/>
              <w:right w:val="single" w:sz="4" w:space="0" w:color="auto"/>
            </w:tcBorders>
            <w:shd w:val="clear" w:color="auto" w:fill="auto"/>
            <w:noWrap/>
            <w:vAlign w:val="bottom"/>
            <w:hideMark/>
          </w:tcPr>
          <w:p w14:paraId="4FC6F1BD" w14:textId="77777777" w:rsidR="00BC5BA0" w:rsidRPr="00692D33" w:rsidRDefault="00BC5BA0" w:rsidP="00B33BD5">
            <w:pPr>
              <w:spacing w:after="0"/>
              <w:jc w:val="center"/>
              <w:rPr>
                <w:color w:val="000000"/>
                <w:lang w:val="en-US"/>
              </w:rPr>
            </w:pPr>
            <w:r w:rsidRPr="00692D33">
              <w:rPr>
                <w:color w:val="000000"/>
                <w:lang w:val="en-US"/>
              </w:rPr>
              <w:t>1%</w:t>
            </w:r>
          </w:p>
        </w:tc>
        <w:tc>
          <w:tcPr>
            <w:tcW w:w="0" w:type="auto"/>
            <w:tcBorders>
              <w:top w:val="nil"/>
              <w:left w:val="single" w:sz="8" w:space="0" w:color="auto"/>
              <w:bottom w:val="single" w:sz="8" w:space="0" w:color="auto"/>
              <w:right w:val="single" w:sz="4" w:space="0" w:color="auto"/>
            </w:tcBorders>
            <w:shd w:val="clear" w:color="auto" w:fill="auto"/>
            <w:noWrap/>
            <w:vAlign w:val="bottom"/>
            <w:hideMark/>
          </w:tcPr>
          <w:p w14:paraId="1E34CC89" w14:textId="77777777" w:rsidR="00BC5BA0" w:rsidRPr="00692D33" w:rsidRDefault="00BC5BA0" w:rsidP="00B33BD5">
            <w:pPr>
              <w:spacing w:after="0"/>
              <w:jc w:val="center"/>
              <w:rPr>
                <w:color w:val="000000"/>
                <w:lang w:val="en-US"/>
              </w:rPr>
            </w:pPr>
            <w:r w:rsidRPr="00692D33">
              <w:rPr>
                <w:color w:val="000000"/>
                <w:lang w:val="en-US"/>
              </w:rPr>
              <w:t>1%</w:t>
            </w:r>
          </w:p>
        </w:tc>
        <w:tc>
          <w:tcPr>
            <w:tcW w:w="0" w:type="auto"/>
            <w:tcBorders>
              <w:top w:val="nil"/>
              <w:left w:val="single" w:sz="8" w:space="0" w:color="auto"/>
              <w:bottom w:val="single" w:sz="8" w:space="0" w:color="auto"/>
              <w:right w:val="single" w:sz="4" w:space="0" w:color="auto"/>
            </w:tcBorders>
            <w:shd w:val="clear" w:color="auto" w:fill="auto"/>
            <w:noWrap/>
            <w:vAlign w:val="bottom"/>
            <w:hideMark/>
          </w:tcPr>
          <w:p w14:paraId="6A975452" w14:textId="77777777" w:rsidR="00BC5BA0" w:rsidRPr="00692D33" w:rsidRDefault="00BC5BA0" w:rsidP="00B33BD5">
            <w:pPr>
              <w:spacing w:after="0"/>
              <w:jc w:val="center"/>
              <w:rPr>
                <w:color w:val="000000"/>
                <w:lang w:val="en-US"/>
              </w:rPr>
            </w:pPr>
            <w:r w:rsidRPr="00692D33">
              <w:rPr>
                <w:color w:val="000000"/>
                <w:lang w:val="en-US"/>
              </w:rPr>
              <w:t>2%</w:t>
            </w:r>
          </w:p>
        </w:tc>
        <w:tc>
          <w:tcPr>
            <w:tcW w:w="0" w:type="auto"/>
            <w:tcBorders>
              <w:top w:val="nil"/>
              <w:left w:val="single" w:sz="8" w:space="0" w:color="auto"/>
              <w:bottom w:val="single" w:sz="8" w:space="0" w:color="auto"/>
              <w:right w:val="single" w:sz="4" w:space="0" w:color="auto"/>
            </w:tcBorders>
            <w:shd w:val="clear" w:color="auto" w:fill="auto"/>
            <w:noWrap/>
            <w:vAlign w:val="bottom"/>
            <w:hideMark/>
          </w:tcPr>
          <w:p w14:paraId="4A8AC29A" w14:textId="77777777" w:rsidR="00BC5BA0" w:rsidRPr="00692D33" w:rsidRDefault="00BC5BA0" w:rsidP="00B33BD5">
            <w:pPr>
              <w:spacing w:after="0"/>
              <w:jc w:val="center"/>
              <w:rPr>
                <w:color w:val="000000"/>
                <w:lang w:val="en-US"/>
              </w:rPr>
            </w:pPr>
            <w:r w:rsidRPr="00692D33">
              <w:rPr>
                <w:color w:val="000000"/>
                <w:lang w:val="en-US"/>
              </w:rPr>
              <w:t>4%</w:t>
            </w:r>
          </w:p>
        </w:tc>
      </w:tr>
      <w:tr w:rsidR="00BC5BA0" w:rsidRPr="00692D33" w14:paraId="56DF12B1" w14:textId="77777777" w:rsidTr="00B33BD5">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0397EFED" w14:textId="77777777" w:rsidR="00BC5BA0" w:rsidRPr="00692D33" w:rsidRDefault="00BC5BA0" w:rsidP="00B33BD5">
            <w:pPr>
              <w:spacing w:after="0"/>
              <w:jc w:val="center"/>
              <w:rPr>
                <w:b/>
                <w:bCs/>
                <w:color w:val="000000"/>
                <w:lang w:val="en-US"/>
              </w:rPr>
            </w:pPr>
            <w:r w:rsidRPr="00692D33">
              <w:rPr>
                <w:b/>
                <w:bCs/>
                <w:color w:val="000000"/>
                <w:lang w:val="en-US"/>
              </w:rPr>
              <w:t>25.2 dBm - 20%</w:t>
            </w:r>
          </w:p>
        </w:tc>
        <w:tc>
          <w:tcPr>
            <w:tcW w:w="0" w:type="auto"/>
            <w:tcBorders>
              <w:top w:val="nil"/>
              <w:left w:val="nil"/>
              <w:bottom w:val="single" w:sz="8" w:space="0" w:color="auto"/>
              <w:right w:val="single" w:sz="4" w:space="0" w:color="auto"/>
            </w:tcBorders>
            <w:shd w:val="clear" w:color="auto" w:fill="auto"/>
            <w:noWrap/>
            <w:vAlign w:val="bottom"/>
            <w:hideMark/>
          </w:tcPr>
          <w:p w14:paraId="76DC12BD" w14:textId="77777777" w:rsidR="00BC5BA0" w:rsidRPr="00692D33" w:rsidRDefault="00BC5BA0" w:rsidP="00B33BD5">
            <w:pPr>
              <w:spacing w:after="0"/>
              <w:jc w:val="center"/>
              <w:rPr>
                <w:color w:val="000000"/>
                <w:lang w:val="en-US"/>
              </w:rPr>
            </w:pPr>
            <w:r w:rsidRPr="00692D33">
              <w:rPr>
                <w:color w:val="000000"/>
                <w:lang w:val="en-US"/>
              </w:rPr>
              <w:t>5%</w:t>
            </w:r>
          </w:p>
        </w:tc>
        <w:tc>
          <w:tcPr>
            <w:tcW w:w="0" w:type="auto"/>
            <w:tcBorders>
              <w:top w:val="nil"/>
              <w:left w:val="single" w:sz="8" w:space="0" w:color="auto"/>
              <w:bottom w:val="single" w:sz="8" w:space="0" w:color="auto"/>
              <w:right w:val="single" w:sz="4" w:space="0" w:color="auto"/>
            </w:tcBorders>
            <w:shd w:val="clear" w:color="auto" w:fill="auto"/>
            <w:noWrap/>
            <w:vAlign w:val="bottom"/>
            <w:hideMark/>
          </w:tcPr>
          <w:p w14:paraId="73C7CCFA" w14:textId="77777777" w:rsidR="00BC5BA0" w:rsidRPr="00692D33" w:rsidRDefault="00BC5BA0" w:rsidP="00B33BD5">
            <w:pPr>
              <w:spacing w:after="0"/>
              <w:jc w:val="center"/>
              <w:rPr>
                <w:color w:val="000000"/>
                <w:lang w:val="en-US"/>
              </w:rPr>
            </w:pPr>
            <w:r w:rsidRPr="00692D33">
              <w:rPr>
                <w:color w:val="000000"/>
                <w:lang w:val="en-US"/>
              </w:rPr>
              <w:t>8%</w:t>
            </w:r>
          </w:p>
        </w:tc>
        <w:tc>
          <w:tcPr>
            <w:tcW w:w="0" w:type="auto"/>
            <w:tcBorders>
              <w:top w:val="nil"/>
              <w:left w:val="single" w:sz="8" w:space="0" w:color="auto"/>
              <w:bottom w:val="single" w:sz="8" w:space="0" w:color="auto"/>
              <w:right w:val="single" w:sz="4" w:space="0" w:color="auto"/>
            </w:tcBorders>
            <w:shd w:val="clear" w:color="auto" w:fill="auto"/>
            <w:noWrap/>
            <w:vAlign w:val="bottom"/>
            <w:hideMark/>
          </w:tcPr>
          <w:p w14:paraId="530F7773" w14:textId="77777777" w:rsidR="00BC5BA0" w:rsidRPr="00692D33" w:rsidRDefault="00BC5BA0" w:rsidP="00B33BD5">
            <w:pPr>
              <w:spacing w:after="0"/>
              <w:jc w:val="center"/>
              <w:rPr>
                <w:color w:val="000000"/>
                <w:lang w:val="en-US"/>
              </w:rPr>
            </w:pPr>
            <w:r w:rsidRPr="00692D33">
              <w:rPr>
                <w:color w:val="000000"/>
                <w:lang w:val="en-US"/>
              </w:rPr>
              <w:t>11%</w:t>
            </w:r>
          </w:p>
        </w:tc>
        <w:tc>
          <w:tcPr>
            <w:tcW w:w="0" w:type="auto"/>
            <w:tcBorders>
              <w:top w:val="nil"/>
              <w:left w:val="single" w:sz="8" w:space="0" w:color="auto"/>
              <w:bottom w:val="single" w:sz="8" w:space="0" w:color="auto"/>
              <w:right w:val="single" w:sz="4" w:space="0" w:color="auto"/>
            </w:tcBorders>
            <w:shd w:val="clear" w:color="auto" w:fill="auto"/>
            <w:noWrap/>
            <w:vAlign w:val="bottom"/>
            <w:hideMark/>
          </w:tcPr>
          <w:p w14:paraId="13664E85" w14:textId="77777777" w:rsidR="00BC5BA0" w:rsidRPr="00692D33" w:rsidRDefault="00BC5BA0" w:rsidP="00B33BD5">
            <w:pPr>
              <w:spacing w:after="0"/>
              <w:jc w:val="center"/>
              <w:rPr>
                <w:color w:val="000000"/>
                <w:lang w:val="en-US"/>
              </w:rPr>
            </w:pPr>
            <w:r w:rsidRPr="00692D33">
              <w:rPr>
                <w:color w:val="000000"/>
                <w:lang w:val="en-US"/>
              </w:rPr>
              <w:t>13%</w:t>
            </w:r>
          </w:p>
        </w:tc>
      </w:tr>
      <w:tr w:rsidR="00BC5BA0" w:rsidRPr="00692D33" w14:paraId="6B7EA298" w14:textId="77777777" w:rsidTr="00B33BD5">
        <w:trPr>
          <w:trHeight w:val="330"/>
          <w:jc w:val="center"/>
        </w:trPr>
        <w:tc>
          <w:tcPr>
            <w:tcW w:w="0" w:type="auto"/>
            <w:tcBorders>
              <w:top w:val="nil"/>
              <w:left w:val="single" w:sz="8" w:space="0" w:color="auto"/>
              <w:bottom w:val="single" w:sz="4" w:space="0" w:color="auto"/>
              <w:right w:val="nil"/>
            </w:tcBorders>
            <w:shd w:val="clear" w:color="auto" w:fill="auto"/>
            <w:noWrap/>
            <w:vAlign w:val="bottom"/>
            <w:hideMark/>
          </w:tcPr>
          <w:p w14:paraId="46DCE9FD" w14:textId="77777777" w:rsidR="00BC5BA0" w:rsidRPr="00692D33" w:rsidRDefault="00BC5BA0" w:rsidP="00B33BD5">
            <w:pPr>
              <w:spacing w:after="0"/>
              <w:jc w:val="center"/>
              <w:rPr>
                <w:b/>
                <w:bCs/>
                <w:color w:val="000000"/>
                <w:lang w:val="en-US"/>
              </w:rPr>
            </w:pPr>
            <w:r w:rsidRPr="00692D33">
              <w:rPr>
                <w:b/>
                <w:bCs/>
                <w:color w:val="000000"/>
                <w:lang w:val="en-US"/>
              </w:rPr>
              <w:t>21.2 dBm - 20%</w:t>
            </w:r>
          </w:p>
        </w:tc>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24097903" w14:textId="77777777" w:rsidR="00BC5BA0" w:rsidRPr="00692D33" w:rsidRDefault="00BC5BA0" w:rsidP="00B33BD5">
            <w:pPr>
              <w:spacing w:after="0"/>
              <w:jc w:val="center"/>
              <w:rPr>
                <w:color w:val="000000"/>
                <w:lang w:val="en-US"/>
              </w:rPr>
            </w:pPr>
            <w:r w:rsidRPr="00692D33">
              <w:rPr>
                <w:color w:val="000000"/>
                <w:lang w:val="en-US"/>
              </w:rPr>
              <w:t>7%</w:t>
            </w:r>
          </w:p>
        </w:tc>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1A74235C" w14:textId="77777777" w:rsidR="00BC5BA0" w:rsidRPr="00692D33" w:rsidRDefault="00BC5BA0" w:rsidP="00B33BD5">
            <w:pPr>
              <w:spacing w:after="0"/>
              <w:jc w:val="center"/>
              <w:rPr>
                <w:color w:val="000000"/>
                <w:lang w:val="en-US"/>
              </w:rPr>
            </w:pPr>
            <w:r w:rsidRPr="00692D33">
              <w:rPr>
                <w:color w:val="000000"/>
                <w:lang w:val="en-US"/>
              </w:rPr>
              <w:t>10%</w:t>
            </w:r>
          </w:p>
        </w:tc>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747D4DE5" w14:textId="77777777" w:rsidR="00BC5BA0" w:rsidRPr="00692D33" w:rsidRDefault="00BC5BA0" w:rsidP="00B33BD5">
            <w:pPr>
              <w:spacing w:after="0"/>
              <w:jc w:val="center"/>
              <w:rPr>
                <w:color w:val="000000"/>
                <w:lang w:val="en-US"/>
              </w:rPr>
            </w:pPr>
            <w:r w:rsidRPr="00692D33">
              <w:rPr>
                <w:color w:val="000000"/>
                <w:lang w:val="en-US"/>
              </w:rPr>
              <w:t>13%</w:t>
            </w:r>
          </w:p>
        </w:tc>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0622435B" w14:textId="77777777" w:rsidR="00BC5BA0" w:rsidRPr="00692D33" w:rsidRDefault="00BC5BA0" w:rsidP="00B33BD5">
            <w:pPr>
              <w:spacing w:after="0"/>
              <w:jc w:val="center"/>
              <w:rPr>
                <w:color w:val="000000"/>
                <w:lang w:val="en-US"/>
              </w:rPr>
            </w:pPr>
            <w:r w:rsidRPr="00692D33">
              <w:rPr>
                <w:color w:val="000000"/>
                <w:lang w:val="en-US"/>
              </w:rPr>
              <w:t>17%</w:t>
            </w:r>
          </w:p>
        </w:tc>
      </w:tr>
      <w:tr w:rsidR="00323B5B" w:rsidRPr="00692D33" w14:paraId="5891EA60" w14:textId="77777777" w:rsidTr="00B33BD5">
        <w:trPr>
          <w:trHeight w:val="330"/>
          <w:jc w:val="center"/>
        </w:trPr>
        <w:tc>
          <w:tcPr>
            <w:tcW w:w="0" w:type="auto"/>
            <w:tcBorders>
              <w:top w:val="single" w:sz="4" w:space="0" w:color="auto"/>
              <w:left w:val="single" w:sz="8" w:space="0" w:color="auto"/>
              <w:bottom w:val="single" w:sz="4" w:space="0" w:color="auto"/>
              <w:right w:val="nil"/>
            </w:tcBorders>
            <w:shd w:val="clear" w:color="auto" w:fill="auto"/>
            <w:noWrap/>
            <w:vAlign w:val="bottom"/>
          </w:tcPr>
          <w:p w14:paraId="77EDEBB7" w14:textId="300B14C9" w:rsidR="00323B5B" w:rsidRPr="00692D33" w:rsidRDefault="00323B5B" w:rsidP="00B33BD5">
            <w:pPr>
              <w:spacing w:after="0"/>
              <w:jc w:val="center"/>
              <w:rPr>
                <w:b/>
                <w:bCs/>
                <w:color w:val="000000"/>
                <w:lang w:val="en-US"/>
              </w:rPr>
            </w:pPr>
            <w:r w:rsidRPr="00692D33">
              <w:rPr>
                <w:b/>
                <w:bCs/>
                <w:color w:val="000000"/>
                <w:lang w:val="en-US"/>
              </w:rPr>
              <w:t>25.2 dBm - 80%</w:t>
            </w:r>
          </w:p>
        </w:tc>
        <w:tc>
          <w:tcPr>
            <w:tcW w:w="0" w:type="auto"/>
            <w:tcBorders>
              <w:top w:val="single" w:sz="4" w:space="0" w:color="auto"/>
              <w:left w:val="single" w:sz="8" w:space="0" w:color="auto"/>
              <w:bottom w:val="single" w:sz="4" w:space="0" w:color="auto"/>
              <w:right w:val="single" w:sz="4" w:space="0" w:color="auto"/>
            </w:tcBorders>
            <w:shd w:val="clear" w:color="auto" w:fill="auto"/>
            <w:noWrap/>
            <w:vAlign w:val="bottom"/>
          </w:tcPr>
          <w:p w14:paraId="7D78B606" w14:textId="62B52A22" w:rsidR="00323B5B" w:rsidRPr="00692D33" w:rsidRDefault="00323B5B" w:rsidP="00B33BD5">
            <w:pPr>
              <w:spacing w:after="0"/>
              <w:jc w:val="center"/>
              <w:rPr>
                <w:color w:val="000000"/>
                <w:lang w:val="en-US"/>
              </w:rPr>
            </w:pPr>
            <w:r w:rsidRPr="00692D33">
              <w:rPr>
                <w:color w:val="000000"/>
                <w:lang w:val="en-US"/>
              </w:rPr>
              <w:t>17%</w:t>
            </w:r>
          </w:p>
        </w:tc>
        <w:tc>
          <w:tcPr>
            <w:tcW w:w="0" w:type="auto"/>
            <w:tcBorders>
              <w:top w:val="single" w:sz="4" w:space="0" w:color="auto"/>
              <w:left w:val="single" w:sz="8" w:space="0" w:color="auto"/>
              <w:bottom w:val="single" w:sz="4" w:space="0" w:color="auto"/>
              <w:right w:val="single" w:sz="4" w:space="0" w:color="auto"/>
            </w:tcBorders>
            <w:shd w:val="clear" w:color="auto" w:fill="auto"/>
            <w:noWrap/>
            <w:vAlign w:val="bottom"/>
          </w:tcPr>
          <w:p w14:paraId="1AEC0FC6" w14:textId="5B1E41E7" w:rsidR="00323B5B" w:rsidRPr="00692D33" w:rsidRDefault="00323B5B" w:rsidP="00B33BD5">
            <w:pPr>
              <w:spacing w:after="0"/>
              <w:jc w:val="center"/>
              <w:rPr>
                <w:color w:val="000000"/>
                <w:lang w:val="en-US"/>
              </w:rPr>
            </w:pPr>
            <w:r w:rsidRPr="00692D33">
              <w:rPr>
                <w:color w:val="000000"/>
                <w:lang w:val="en-US"/>
              </w:rPr>
              <w:t>29%</w:t>
            </w:r>
          </w:p>
        </w:tc>
        <w:tc>
          <w:tcPr>
            <w:tcW w:w="0" w:type="auto"/>
            <w:tcBorders>
              <w:top w:val="single" w:sz="4" w:space="0" w:color="auto"/>
              <w:left w:val="single" w:sz="8" w:space="0" w:color="auto"/>
              <w:bottom w:val="single" w:sz="4" w:space="0" w:color="auto"/>
              <w:right w:val="single" w:sz="4" w:space="0" w:color="auto"/>
            </w:tcBorders>
            <w:shd w:val="clear" w:color="auto" w:fill="auto"/>
            <w:noWrap/>
            <w:vAlign w:val="bottom"/>
          </w:tcPr>
          <w:p w14:paraId="6D25E1B0" w14:textId="32D315CF" w:rsidR="00323B5B" w:rsidRPr="00692D33" w:rsidRDefault="00323B5B" w:rsidP="00B33BD5">
            <w:pPr>
              <w:spacing w:after="0"/>
              <w:jc w:val="center"/>
              <w:rPr>
                <w:color w:val="000000"/>
                <w:lang w:val="en-US"/>
              </w:rPr>
            </w:pPr>
            <w:r w:rsidRPr="00692D33">
              <w:rPr>
                <w:color w:val="000000"/>
                <w:lang w:val="en-US"/>
              </w:rPr>
              <w:t>39%</w:t>
            </w:r>
          </w:p>
        </w:tc>
        <w:tc>
          <w:tcPr>
            <w:tcW w:w="0" w:type="auto"/>
            <w:tcBorders>
              <w:top w:val="single" w:sz="4" w:space="0" w:color="auto"/>
              <w:left w:val="single" w:sz="8" w:space="0" w:color="auto"/>
              <w:bottom w:val="single" w:sz="4" w:space="0" w:color="auto"/>
              <w:right w:val="single" w:sz="4" w:space="0" w:color="auto"/>
            </w:tcBorders>
            <w:shd w:val="clear" w:color="auto" w:fill="auto"/>
            <w:noWrap/>
            <w:vAlign w:val="bottom"/>
          </w:tcPr>
          <w:p w14:paraId="61501712" w14:textId="66F86656" w:rsidR="00323B5B" w:rsidRPr="00692D33" w:rsidRDefault="00323B5B" w:rsidP="00B33BD5">
            <w:pPr>
              <w:spacing w:after="0"/>
              <w:jc w:val="center"/>
              <w:rPr>
                <w:color w:val="000000"/>
                <w:lang w:val="en-US"/>
              </w:rPr>
            </w:pPr>
            <w:r w:rsidRPr="00692D33">
              <w:rPr>
                <w:color w:val="000000"/>
                <w:lang w:val="en-US"/>
              </w:rPr>
              <w:t>47%</w:t>
            </w:r>
          </w:p>
        </w:tc>
      </w:tr>
      <w:tr w:rsidR="00323B5B" w:rsidRPr="00692D33" w14:paraId="6BE9AB48" w14:textId="77777777" w:rsidTr="00B33BD5">
        <w:trPr>
          <w:trHeight w:val="330"/>
          <w:jc w:val="center"/>
        </w:trPr>
        <w:tc>
          <w:tcPr>
            <w:tcW w:w="0" w:type="auto"/>
            <w:tcBorders>
              <w:top w:val="single" w:sz="4" w:space="0" w:color="auto"/>
              <w:left w:val="single" w:sz="8" w:space="0" w:color="auto"/>
              <w:bottom w:val="single" w:sz="8" w:space="0" w:color="auto"/>
              <w:right w:val="nil"/>
            </w:tcBorders>
            <w:shd w:val="clear" w:color="auto" w:fill="auto"/>
            <w:noWrap/>
            <w:vAlign w:val="bottom"/>
          </w:tcPr>
          <w:p w14:paraId="42E2233C" w14:textId="7539B9BC" w:rsidR="00323B5B" w:rsidRPr="00692D33" w:rsidRDefault="00323B5B" w:rsidP="00B33BD5">
            <w:pPr>
              <w:spacing w:after="0"/>
              <w:jc w:val="center"/>
              <w:rPr>
                <w:b/>
                <w:bCs/>
                <w:color w:val="000000"/>
                <w:lang w:val="en-US"/>
              </w:rPr>
            </w:pPr>
            <w:r w:rsidRPr="00692D33">
              <w:rPr>
                <w:b/>
                <w:bCs/>
                <w:color w:val="000000"/>
                <w:lang w:val="en-US"/>
              </w:rPr>
              <w:t>21.2 dBm - 80%</w:t>
            </w:r>
          </w:p>
        </w:tc>
        <w:tc>
          <w:tcPr>
            <w:tcW w:w="0" w:type="auto"/>
            <w:tcBorders>
              <w:top w:val="single" w:sz="4" w:space="0" w:color="auto"/>
              <w:left w:val="single" w:sz="8" w:space="0" w:color="auto"/>
              <w:bottom w:val="single" w:sz="8" w:space="0" w:color="auto"/>
              <w:right w:val="single" w:sz="4" w:space="0" w:color="auto"/>
            </w:tcBorders>
            <w:shd w:val="clear" w:color="auto" w:fill="auto"/>
            <w:noWrap/>
            <w:vAlign w:val="bottom"/>
          </w:tcPr>
          <w:p w14:paraId="786E7EE6" w14:textId="627ADDA9" w:rsidR="00323B5B" w:rsidRPr="00692D33" w:rsidRDefault="00323B5B" w:rsidP="00B33BD5">
            <w:pPr>
              <w:spacing w:after="0"/>
              <w:jc w:val="center"/>
              <w:rPr>
                <w:color w:val="000000"/>
                <w:lang w:val="en-US"/>
              </w:rPr>
            </w:pPr>
            <w:r w:rsidRPr="00692D33">
              <w:rPr>
                <w:color w:val="000000"/>
                <w:lang w:val="en-US"/>
              </w:rPr>
              <w:t>24%</w:t>
            </w:r>
          </w:p>
        </w:tc>
        <w:tc>
          <w:tcPr>
            <w:tcW w:w="0" w:type="auto"/>
            <w:tcBorders>
              <w:top w:val="single" w:sz="4" w:space="0" w:color="auto"/>
              <w:left w:val="single" w:sz="8" w:space="0" w:color="auto"/>
              <w:bottom w:val="single" w:sz="8" w:space="0" w:color="auto"/>
              <w:right w:val="single" w:sz="4" w:space="0" w:color="auto"/>
            </w:tcBorders>
            <w:shd w:val="clear" w:color="auto" w:fill="auto"/>
            <w:noWrap/>
            <w:vAlign w:val="bottom"/>
          </w:tcPr>
          <w:p w14:paraId="4207300C" w14:textId="1E96963B" w:rsidR="00323B5B" w:rsidRPr="00692D33" w:rsidRDefault="00323B5B" w:rsidP="00B33BD5">
            <w:pPr>
              <w:spacing w:after="0"/>
              <w:jc w:val="center"/>
              <w:rPr>
                <w:color w:val="000000"/>
                <w:lang w:val="en-US"/>
              </w:rPr>
            </w:pPr>
            <w:r w:rsidRPr="00692D33">
              <w:rPr>
                <w:color w:val="000000"/>
                <w:lang w:val="en-US"/>
              </w:rPr>
              <w:t>36%</w:t>
            </w:r>
          </w:p>
        </w:tc>
        <w:tc>
          <w:tcPr>
            <w:tcW w:w="0" w:type="auto"/>
            <w:tcBorders>
              <w:top w:val="single" w:sz="4" w:space="0" w:color="auto"/>
              <w:left w:val="single" w:sz="8" w:space="0" w:color="auto"/>
              <w:bottom w:val="single" w:sz="8" w:space="0" w:color="auto"/>
              <w:right w:val="single" w:sz="4" w:space="0" w:color="auto"/>
            </w:tcBorders>
            <w:shd w:val="clear" w:color="auto" w:fill="auto"/>
            <w:noWrap/>
            <w:vAlign w:val="bottom"/>
          </w:tcPr>
          <w:p w14:paraId="28CB04D1" w14:textId="120E1640" w:rsidR="00323B5B" w:rsidRPr="00692D33" w:rsidRDefault="00323B5B" w:rsidP="00B33BD5">
            <w:pPr>
              <w:spacing w:after="0"/>
              <w:jc w:val="center"/>
              <w:rPr>
                <w:color w:val="000000"/>
                <w:lang w:val="en-US"/>
              </w:rPr>
            </w:pPr>
            <w:r w:rsidRPr="00692D33">
              <w:rPr>
                <w:color w:val="000000"/>
                <w:lang w:val="en-US"/>
              </w:rPr>
              <w:t>47%</w:t>
            </w:r>
          </w:p>
        </w:tc>
        <w:tc>
          <w:tcPr>
            <w:tcW w:w="0" w:type="auto"/>
            <w:tcBorders>
              <w:top w:val="single" w:sz="4" w:space="0" w:color="auto"/>
              <w:left w:val="single" w:sz="8" w:space="0" w:color="auto"/>
              <w:bottom w:val="single" w:sz="8" w:space="0" w:color="auto"/>
              <w:right w:val="single" w:sz="4" w:space="0" w:color="auto"/>
            </w:tcBorders>
            <w:shd w:val="clear" w:color="auto" w:fill="auto"/>
            <w:noWrap/>
            <w:vAlign w:val="bottom"/>
          </w:tcPr>
          <w:p w14:paraId="0F849235" w14:textId="41784D4C" w:rsidR="00323B5B" w:rsidRPr="00692D33" w:rsidRDefault="00323B5B" w:rsidP="00B33BD5">
            <w:pPr>
              <w:spacing w:after="0"/>
              <w:jc w:val="center"/>
              <w:rPr>
                <w:color w:val="000000"/>
                <w:lang w:val="en-US"/>
              </w:rPr>
            </w:pPr>
            <w:r w:rsidRPr="00692D33">
              <w:rPr>
                <w:color w:val="000000"/>
                <w:lang w:val="en-US"/>
              </w:rPr>
              <w:t>55%</w:t>
            </w:r>
          </w:p>
        </w:tc>
      </w:tr>
    </w:tbl>
    <w:p w14:paraId="573E580E" w14:textId="77777777" w:rsidR="00BC5BA0" w:rsidRPr="00765F17" w:rsidRDefault="00BC5BA0" w:rsidP="005A2EEF">
      <w:pPr>
        <w:jc w:val="center"/>
      </w:pPr>
    </w:p>
    <w:p w14:paraId="59AF3546" w14:textId="77777777" w:rsidR="000364DC" w:rsidRDefault="000364DC" w:rsidP="000364DC">
      <w:pPr>
        <w:pStyle w:val="Heading1"/>
        <w:numPr>
          <w:ilvl w:val="0"/>
          <w:numId w:val="0"/>
        </w:numPr>
        <w:tabs>
          <w:tab w:val="num" w:pos="432"/>
        </w:tabs>
        <w:ind w:left="432" w:hanging="432"/>
        <w:jc w:val="both"/>
        <w:rPr>
          <w:lang w:val="en-US"/>
        </w:rPr>
      </w:pPr>
      <w:r>
        <w:rPr>
          <w:lang w:val="en-US"/>
        </w:rPr>
        <w:t>Conclusions</w:t>
      </w:r>
    </w:p>
    <w:p w14:paraId="7C73B44F" w14:textId="65632117" w:rsidR="0069616B" w:rsidRDefault="00B567BB" w:rsidP="00B567BB">
      <w:pPr>
        <w:jc w:val="both"/>
        <w:rPr>
          <w:lang w:val="en-US"/>
        </w:rPr>
      </w:pPr>
      <w:r>
        <w:rPr>
          <w:lang w:val="en-US"/>
        </w:rPr>
        <w:t xml:space="preserve">In this contribution, we presented simulation results showing the impact </w:t>
      </w:r>
      <w:r>
        <w:t>of UE peak EIRP on NR network performance.</w:t>
      </w:r>
      <w:r>
        <w:rPr>
          <w:lang w:val="en-US"/>
        </w:rPr>
        <w:t xml:space="preserve"> Based on the outcome of the study, </w:t>
      </w:r>
      <w:r w:rsidR="00F92B1B">
        <w:rPr>
          <w:lang w:val="en-US"/>
        </w:rPr>
        <w:t xml:space="preserve">we </w:t>
      </w:r>
      <w:r w:rsidR="0069616B">
        <w:rPr>
          <w:lang w:val="en-US"/>
        </w:rPr>
        <w:t>made the following observations:</w:t>
      </w:r>
    </w:p>
    <w:p w14:paraId="4C5F2675" w14:textId="31E26B93" w:rsidR="0069616B" w:rsidRDefault="0069616B" w:rsidP="0069616B">
      <w:pPr>
        <w:pStyle w:val="ListParagraph"/>
        <w:numPr>
          <w:ilvl w:val="0"/>
          <w:numId w:val="42"/>
        </w:numPr>
        <w:jc w:val="both"/>
        <w:rPr>
          <w:lang w:val="en-US"/>
        </w:rPr>
      </w:pPr>
      <w:r>
        <w:rPr>
          <w:lang w:val="en-US"/>
        </w:rPr>
        <w:t xml:space="preserve">For </w:t>
      </w:r>
      <w:proofErr w:type="spellStart"/>
      <w:r>
        <w:rPr>
          <w:lang w:val="en-US"/>
        </w:rPr>
        <w:t>InH</w:t>
      </w:r>
      <w:proofErr w:type="spellEnd"/>
      <w:r>
        <w:rPr>
          <w:lang w:val="en-US"/>
        </w:rPr>
        <w:t xml:space="preserve"> deployment, 25.2</w:t>
      </w:r>
      <w:r w:rsidR="002176F8">
        <w:rPr>
          <w:lang w:val="en-US"/>
        </w:rPr>
        <w:t xml:space="preserve"> </w:t>
      </w:r>
      <w:r>
        <w:rPr>
          <w:lang w:val="en-US"/>
        </w:rPr>
        <w:t>dB</w:t>
      </w:r>
      <w:r w:rsidR="002176F8">
        <w:rPr>
          <w:lang w:val="en-US"/>
        </w:rPr>
        <w:t>m</w:t>
      </w:r>
      <w:r>
        <w:rPr>
          <w:lang w:val="en-US"/>
        </w:rPr>
        <w:t xml:space="preserve"> EIRP does not bring significant gain. In this scenario, spherical coverage is the most relevant aspect as observed in </w:t>
      </w:r>
      <w:r>
        <w:rPr>
          <w:lang w:val="en-US"/>
        </w:rPr>
        <w:fldChar w:fldCharType="begin"/>
      </w:r>
      <w:r>
        <w:rPr>
          <w:lang w:val="en-US"/>
        </w:rPr>
        <w:instrText xml:space="preserve"> REF _Ref503264571 \r \h </w:instrText>
      </w:r>
      <w:r>
        <w:rPr>
          <w:lang w:val="en-US"/>
        </w:rPr>
      </w:r>
      <w:r>
        <w:rPr>
          <w:lang w:val="en-US"/>
        </w:rPr>
        <w:fldChar w:fldCharType="separate"/>
      </w:r>
      <w:r w:rsidR="002A1E25">
        <w:rPr>
          <w:lang w:val="en-US"/>
        </w:rPr>
        <w:t>[7]</w:t>
      </w:r>
      <w:r>
        <w:rPr>
          <w:lang w:val="en-US"/>
        </w:rPr>
        <w:fldChar w:fldCharType="end"/>
      </w:r>
      <w:r>
        <w:rPr>
          <w:lang w:val="en-US"/>
        </w:rPr>
        <w:t xml:space="preserve">. If additional losses are considered, even in </w:t>
      </w:r>
      <w:proofErr w:type="spellStart"/>
      <w:r>
        <w:rPr>
          <w:lang w:val="en-US"/>
        </w:rPr>
        <w:t>InH</w:t>
      </w:r>
      <w:proofErr w:type="spellEnd"/>
      <w:r w:rsidR="00737295">
        <w:rPr>
          <w:lang w:val="en-US"/>
        </w:rPr>
        <w:t xml:space="preserve"> higher EIRP brings gain.</w:t>
      </w:r>
      <w:r>
        <w:rPr>
          <w:lang w:val="en-US"/>
        </w:rPr>
        <w:t xml:space="preserve"> </w:t>
      </w:r>
    </w:p>
    <w:p w14:paraId="4C32958C" w14:textId="4A1767F8" w:rsidR="004B64C5" w:rsidRDefault="004B64C5" w:rsidP="0069616B">
      <w:pPr>
        <w:pStyle w:val="ListParagraph"/>
        <w:numPr>
          <w:ilvl w:val="0"/>
          <w:numId w:val="42"/>
        </w:numPr>
        <w:jc w:val="both"/>
        <w:rPr>
          <w:lang w:val="en-US"/>
        </w:rPr>
      </w:pPr>
      <w:r>
        <w:rPr>
          <w:lang w:val="en-US"/>
        </w:rPr>
        <w:t xml:space="preserve">For </w:t>
      </w:r>
      <w:proofErr w:type="spellStart"/>
      <w:r>
        <w:rPr>
          <w:lang w:val="en-US"/>
        </w:rPr>
        <w:t>UMi</w:t>
      </w:r>
      <w:proofErr w:type="spellEnd"/>
      <w:r>
        <w:rPr>
          <w:lang w:val="en-US"/>
        </w:rPr>
        <w:t xml:space="preserve"> and </w:t>
      </w:r>
      <w:proofErr w:type="spellStart"/>
      <w:r>
        <w:rPr>
          <w:lang w:val="en-US"/>
        </w:rPr>
        <w:t>UMa</w:t>
      </w:r>
      <w:proofErr w:type="spellEnd"/>
      <w:r w:rsidR="00BB66F5">
        <w:rPr>
          <w:lang w:val="en-US"/>
        </w:rPr>
        <w:t>:</w:t>
      </w:r>
    </w:p>
    <w:p w14:paraId="016C6799" w14:textId="1417CCA9" w:rsidR="0069616B" w:rsidRDefault="004B64C5" w:rsidP="00FF38A3">
      <w:pPr>
        <w:pStyle w:val="ListParagraph"/>
        <w:numPr>
          <w:ilvl w:val="1"/>
          <w:numId w:val="42"/>
        </w:numPr>
        <w:jc w:val="both"/>
        <w:rPr>
          <w:lang w:val="en-US"/>
        </w:rPr>
      </w:pPr>
      <w:r>
        <w:rPr>
          <w:lang w:val="en-US"/>
        </w:rPr>
        <w:t>When lower EIRP is considered</w:t>
      </w:r>
      <w:r w:rsidR="009C042B">
        <w:rPr>
          <w:lang w:val="en-US"/>
        </w:rPr>
        <w:t>,</w:t>
      </w:r>
      <w:r>
        <w:rPr>
          <w:lang w:val="en-US"/>
        </w:rPr>
        <w:t xml:space="preserve"> </w:t>
      </w:r>
      <w:r w:rsidR="0069616B" w:rsidRPr="00800F9C">
        <w:rPr>
          <w:lang w:val="en-US"/>
        </w:rPr>
        <w:t>throughput degradation is observed starting for medium/</w:t>
      </w:r>
      <w:r w:rsidR="0069616B">
        <w:rPr>
          <w:lang w:val="en-US"/>
        </w:rPr>
        <w:t xml:space="preserve">large ISD, </w:t>
      </w:r>
      <w:r w:rsidR="00BB66F5">
        <w:rPr>
          <w:lang w:val="en-US"/>
        </w:rPr>
        <w:t xml:space="preserve">at </w:t>
      </w:r>
      <w:r w:rsidR="0069616B">
        <w:rPr>
          <w:lang w:val="en-US"/>
        </w:rPr>
        <w:t>both 50%-tile and 5%-tile. In th</w:t>
      </w:r>
      <w:r w:rsidR="0076046E">
        <w:rPr>
          <w:lang w:val="en-US"/>
        </w:rPr>
        <w:t>ese</w:t>
      </w:r>
      <w:r w:rsidR="0069616B">
        <w:rPr>
          <w:lang w:val="en-US"/>
        </w:rPr>
        <w:t xml:space="preserve"> </w:t>
      </w:r>
      <w:r w:rsidR="00BB66F5">
        <w:rPr>
          <w:lang w:val="en-US"/>
        </w:rPr>
        <w:t>cases,</w:t>
      </w:r>
      <w:r w:rsidR="0069616B">
        <w:rPr>
          <w:lang w:val="en-US"/>
        </w:rPr>
        <w:t xml:space="preserve"> the system is noise limited. </w:t>
      </w:r>
    </w:p>
    <w:p w14:paraId="36CF14AD" w14:textId="2176FF10" w:rsidR="0069616B" w:rsidRDefault="00540529" w:rsidP="00FF38A3">
      <w:pPr>
        <w:pStyle w:val="ListParagraph"/>
        <w:numPr>
          <w:ilvl w:val="1"/>
          <w:numId w:val="42"/>
        </w:numPr>
        <w:jc w:val="both"/>
        <w:rPr>
          <w:lang w:val="en-US"/>
        </w:rPr>
      </w:pPr>
      <w:r>
        <w:rPr>
          <w:lang w:val="en-US"/>
        </w:rPr>
        <w:t>T</w:t>
      </w:r>
      <w:r w:rsidR="0069616B">
        <w:rPr>
          <w:lang w:val="en-US"/>
        </w:rPr>
        <w:t xml:space="preserve">he performance degradation increases when indoor UE are considered. This is </w:t>
      </w:r>
      <w:proofErr w:type="gramStart"/>
      <w:r w:rsidR="0069616B">
        <w:rPr>
          <w:lang w:val="en-US"/>
        </w:rPr>
        <w:t>due to the fact that</w:t>
      </w:r>
      <w:proofErr w:type="gramEnd"/>
      <w:r w:rsidR="0069616B">
        <w:rPr>
          <w:lang w:val="en-US"/>
        </w:rPr>
        <w:t xml:space="preserve"> higher EIRP can help to compensate penetration loss</w:t>
      </w:r>
      <w:r w:rsidR="00BB66F5">
        <w:rPr>
          <w:lang w:val="en-US"/>
        </w:rPr>
        <w:t>es</w:t>
      </w:r>
      <w:r w:rsidR="0069616B">
        <w:rPr>
          <w:lang w:val="en-US"/>
        </w:rPr>
        <w:t xml:space="preserve"> for some UEs.</w:t>
      </w:r>
    </w:p>
    <w:p w14:paraId="61670206" w14:textId="30B77364" w:rsidR="00540529" w:rsidRDefault="00540529" w:rsidP="00FF38A3">
      <w:pPr>
        <w:pStyle w:val="ListParagraph"/>
        <w:numPr>
          <w:ilvl w:val="1"/>
          <w:numId w:val="42"/>
        </w:numPr>
        <w:jc w:val="both"/>
        <w:rPr>
          <w:lang w:val="en-US"/>
        </w:rPr>
      </w:pPr>
      <w:r>
        <w:rPr>
          <w:lang w:val="en-US"/>
        </w:rPr>
        <w:t>Even considering small resource allocation, higher EIRP helps improving system performance.</w:t>
      </w:r>
    </w:p>
    <w:p w14:paraId="76AA01F4" w14:textId="04BB7D0A" w:rsidR="008A6B81" w:rsidRDefault="008A6B81" w:rsidP="008A6B81">
      <w:pPr>
        <w:pStyle w:val="ListParagraph"/>
        <w:numPr>
          <w:ilvl w:val="0"/>
          <w:numId w:val="42"/>
        </w:numPr>
        <w:jc w:val="both"/>
        <w:rPr>
          <w:lang w:val="en-US"/>
        </w:rPr>
      </w:pPr>
      <w:r>
        <w:rPr>
          <w:lang w:val="en-US"/>
        </w:rPr>
        <w:t>All the simulations presented in this paper were based on 20MHz UL resource allocation. Larger allocation will make the system even more sensitive to peak EIRP, especially if high UL throughput is required.</w:t>
      </w:r>
    </w:p>
    <w:p w14:paraId="27B8A8B3" w14:textId="6D6B0BAE" w:rsidR="003C3735" w:rsidRPr="003C3735" w:rsidRDefault="003C3735" w:rsidP="003C3735">
      <w:pPr>
        <w:pStyle w:val="ListParagraph"/>
        <w:numPr>
          <w:ilvl w:val="0"/>
          <w:numId w:val="42"/>
        </w:numPr>
        <w:jc w:val="both"/>
        <w:rPr>
          <w:lang w:val="en-US"/>
        </w:rPr>
      </w:pPr>
      <w:r>
        <w:rPr>
          <w:lang w:val="en-US"/>
        </w:rPr>
        <w:t xml:space="preserve">In summary, </w:t>
      </w:r>
      <w:r w:rsidR="00BB66F5">
        <w:rPr>
          <w:lang w:val="en-US"/>
        </w:rPr>
        <w:t xml:space="preserve">the benefit of higher EIRP is clearly visible once the system starts to be noise limited. </w:t>
      </w:r>
      <w:proofErr w:type="gramStart"/>
      <w:r w:rsidR="00DE6950">
        <w:rPr>
          <w:lang w:val="en-US"/>
        </w:rPr>
        <w:t>In particular, i</w:t>
      </w:r>
      <w:r>
        <w:rPr>
          <w:lang w:val="en-US"/>
        </w:rPr>
        <w:t>n</w:t>
      </w:r>
      <w:proofErr w:type="gramEnd"/>
      <w:r w:rsidR="00DE6950">
        <w:rPr>
          <w:lang w:val="en-US"/>
        </w:rPr>
        <w:t xml:space="preserve"> a</w:t>
      </w:r>
      <w:r>
        <w:rPr>
          <w:lang w:val="en-US"/>
        </w:rPr>
        <w:t xml:space="preserve"> pure noise limited scenarios the 4dB gap in EIRP between 21.2-25.2dBm directly translates into 4dB gap in SINR.</w:t>
      </w:r>
    </w:p>
    <w:p w14:paraId="4F2ED497" w14:textId="40FFA304" w:rsidR="008A6B81" w:rsidRPr="008A6B81" w:rsidRDefault="008A6B81" w:rsidP="008A6B81">
      <w:pPr>
        <w:jc w:val="both"/>
        <w:rPr>
          <w:lang w:val="en-US"/>
        </w:rPr>
      </w:pPr>
      <w:r>
        <w:rPr>
          <w:lang w:val="en-US"/>
        </w:rPr>
        <w:lastRenderedPageBreak/>
        <w:t>Based on the data obtained and presented so far, our recommendation</w:t>
      </w:r>
      <w:r w:rsidR="0036672A">
        <w:rPr>
          <w:lang w:val="en-US"/>
        </w:rPr>
        <w:t xml:space="preserve"> from system level perspective</w:t>
      </w:r>
      <w:r>
        <w:rPr>
          <w:lang w:val="en-US"/>
        </w:rPr>
        <w:t xml:space="preserve"> is to define a minimum </w:t>
      </w:r>
      <w:r w:rsidR="0036672A">
        <w:rPr>
          <w:lang w:val="en-US"/>
        </w:rPr>
        <w:t>EIRP requirement as high as possible within the agreed range.</w:t>
      </w:r>
    </w:p>
    <w:p w14:paraId="70D963E6" w14:textId="77777777" w:rsidR="00A9574F" w:rsidRDefault="00A9574F" w:rsidP="00A9574F">
      <w:pPr>
        <w:pStyle w:val="Heading1"/>
        <w:numPr>
          <w:ilvl w:val="0"/>
          <w:numId w:val="0"/>
        </w:numPr>
        <w:tabs>
          <w:tab w:val="num" w:pos="432"/>
        </w:tabs>
        <w:ind w:left="432" w:hanging="432"/>
        <w:jc w:val="both"/>
        <w:rPr>
          <w:lang w:val="en-US"/>
        </w:rPr>
      </w:pPr>
      <w:r>
        <w:rPr>
          <w:lang w:val="en-US"/>
        </w:rPr>
        <w:t>Reference</w:t>
      </w:r>
    </w:p>
    <w:p w14:paraId="7B67EAC6" w14:textId="6E3996D3" w:rsidR="00A9574F" w:rsidRDefault="00A9574F" w:rsidP="00B567BB">
      <w:pPr>
        <w:pStyle w:val="ListParagraph"/>
        <w:numPr>
          <w:ilvl w:val="0"/>
          <w:numId w:val="2"/>
        </w:numPr>
        <w:rPr>
          <w:lang w:val="en-US"/>
        </w:rPr>
      </w:pPr>
      <w:bookmarkStart w:id="18" w:name="_Ref492892245"/>
      <w:bookmarkStart w:id="19" w:name="_Ref489521993"/>
      <w:bookmarkStart w:id="20" w:name="_Ref481663184"/>
      <w:bookmarkStart w:id="21" w:name="_Ref473813022"/>
      <w:bookmarkStart w:id="22" w:name="_Ref465947019"/>
      <w:r w:rsidRPr="00052E3E">
        <w:t>R4-1714445</w:t>
      </w:r>
      <w:r>
        <w:rPr>
          <w:lang w:val="en-US"/>
        </w:rPr>
        <w:t>, “</w:t>
      </w:r>
      <w:r w:rsidRPr="00783CB5">
        <w:rPr>
          <w:lang w:val="en-US"/>
        </w:rPr>
        <w:t xml:space="preserve">WF on </w:t>
      </w:r>
      <w:r w:rsidRPr="00052E3E">
        <w:t>pi/2 BPSK spectrum shaping and</w:t>
      </w:r>
      <w:r w:rsidRPr="00783CB5">
        <w:rPr>
          <w:lang w:val="en-US"/>
        </w:rPr>
        <w:t xml:space="preserve"> power class in FR2“, Intel Corporation, Ap</w:t>
      </w:r>
      <w:r w:rsidR="00C5242E">
        <w:rPr>
          <w:lang w:val="en-US"/>
        </w:rPr>
        <w:t>ple, Qualcomm, IITH, LGE, Nokia</w:t>
      </w:r>
      <w:r w:rsidRPr="00783CB5">
        <w:rPr>
          <w:lang w:val="en-US"/>
        </w:rPr>
        <w:t>, Huawei, Motorola Mobility</w:t>
      </w:r>
      <w:r>
        <w:rPr>
          <w:lang w:val="en-US"/>
        </w:rPr>
        <w:t>.</w:t>
      </w:r>
      <w:bookmarkEnd w:id="18"/>
      <w:bookmarkEnd w:id="19"/>
      <w:bookmarkEnd w:id="20"/>
      <w:bookmarkEnd w:id="21"/>
      <w:bookmarkEnd w:id="22"/>
    </w:p>
    <w:p w14:paraId="61428893" w14:textId="4AB0B205" w:rsidR="00704B3C" w:rsidRDefault="00704B3C" w:rsidP="005E49D2">
      <w:pPr>
        <w:pStyle w:val="ListParagraph"/>
        <w:numPr>
          <w:ilvl w:val="0"/>
          <w:numId w:val="2"/>
        </w:numPr>
        <w:spacing w:after="160" w:line="256" w:lineRule="auto"/>
        <w:jc w:val="both"/>
        <w:textAlignment w:val="auto"/>
        <w:rPr>
          <w:lang w:val="en-US"/>
        </w:rPr>
      </w:pPr>
      <w:bookmarkStart w:id="23" w:name="_Ref503532331"/>
      <w:r>
        <w:rPr>
          <w:lang w:val="en-US"/>
        </w:rPr>
        <w:t>R4-1</w:t>
      </w:r>
      <w:r w:rsidR="005E49D2">
        <w:rPr>
          <w:lang w:val="en-US"/>
        </w:rPr>
        <w:t>800861</w:t>
      </w:r>
      <w:r>
        <w:rPr>
          <w:lang w:val="en-US"/>
        </w:rPr>
        <w:t>, “</w:t>
      </w:r>
      <w:r w:rsidR="005E49D2" w:rsidRPr="005E49D2">
        <w:rPr>
          <w:lang w:val="en-US"/>
        </w:rPr>
        <w:t>Simulation assumptions for UE max EIRP and spherical coverage evaluation</w:t>
      </w:r>
      <w:r>
        <w:rPr>
          <w:lang w:val="en-US"/>
        </w:rPr>
        <w:t>”, Qualcomm Incorporated.</w:t>
      </w:r>
      <w:bookmarkEnd w:id="23"/>
    </w:p>
    <w:p w14:paraId="434C06AC" w14:textId="67444AC1" w:rsidR="003B7B52" w:rsidRDefault="003B7B52" w:rsidP="003B7B52">
      <w:pPr>
        <w:pStyle w:val="ListParagraph"/>
        <w:numPr>
          <w:ilvl w:val="0"/>
          <w:numId w:val="2"/>
        </w:numPr>
        <w:spacing w:after="160" w:line="256" w:lineRule="auto"/>
        <w:jc w:val="both"/>
        <w:textAlignment w:val="auto"/>
        <w:rPr>
          <w:lang w:val="en-US"/>
        </w:rPr>
      </w:pPr>
      <w:bookmarkStart w:id="24" w:name="_Ref503263719"/>
      <w:bookmarkStart w:id="25" w:name="_Ref503532759"/>
      <w:r w:rsidRPr="0081223F">
        <w:rPr>
          <w:lang w:val="en-US"/>
        </w:rPr>
        <w:t>3GPP TS 38.101-2 V15.0.0 (2017-12), “3rd Generation Partnership Project; Technical Specification Group Radio Access Network; NR; User Equipment (UE) radio transmission and reception; Part 2: Range 2 Standalone</w:t>
      </w:r>
      <w:r>
        <w:rPr>
          <w:lang w:val="en-US"/>
        </w:rPr>
        <w:t xml:space="preserve"> </w:t>
      </w:r>
      <w:r w:rsidRPr="0081223F">
        <w:rPr>
          <w:lang w:val="en-US"/>
        </w:rPr>
        <w:t>(Release 15)”</w:t>
      </w:r>
      <w:bookmarkEnd w:id="24"/>
      <w:r>
        <w:rPr>
          <w:lang w:val="en-US"/>
        </w:rPr>
        <w:t>.</w:t>
      </w:r>
      <w:bookmarkEnd w:id="25"/>
    </w:p>
    <w:p w14:paraId="3A86A9B8" w14:textId="3CAD2A3F" w:rsidR="003B7B52" w:rsidRDefault="003B7B52" w:rsidP="003B7B52">
      <w:pPr>
        <w:pStyle w:val="ListParagraph"/>
        <w:numPr>
          <w:ilvl w:val="0"/>
          <w:numId w:val="2"/>
        </w:numPr>
        <w:jc w:val="both"/>
        <w:rPr>
          <w:lang w:val="en-US"/>
        </w:rPr>
      </w:pPr>
      <w:bookmarkStart w:id="26" w:name="_Ref503533159"/>
      <w:r>
        <w:rPr>
          <w:lang w:val="en-US"/>
        </w:rPr>
        <w:t>3GPP TR 38.803, “</w:t>
      </w:r>
      <w:r w:rsidRPr="00EF34CA">
        <w:rPr>
          <w:lang w:val="en-US"/>
        </w:rPr>
        <w:t>Study on new radio access technology: Radio Frequency (RF) and co-existence aspects</w:t>
      </w:r>
      <w:r>
        <w:rPr>
          <w:lang w:val="en-US"/>
        </w:rPr>
        <w:t>”, V14.0.0.</w:t>
      </w:r>
      <w:bookmarkEnd w:id="26"/>
    </w:p>
    <w:p w14:paraId="201B2C73" w14:textId="6D6EC875" w:rsidR="0056269B" w:rsidRDefault="0056269B" w:rsidP="0056269B">
      <w:pPr>
        <w:pStyle w:val="ListParagraph"/>
        <w:numPr>
          <w:ilvl w:val="0"/>
          <w:numId w:val="2"/>
        </w:numPr>
        <w:jc w:val="both"/>
        <w:rPr>
          <w:lang w:val="en-US"/>
        </w:rPr>
      </w:pPr>
      <w:bookmarkStart w:id="27" w:name="_Ref503533875"/>
      <w:r w:rsidRPr="00C5504C">
        <w:rPr>
          <w:lang w:val="en-US"/>
        </w:rPr>
        <w:t>“Statistical Blockage Modeling and Robustness of Beamforming in Mill</w:t>
      </w:r>
      <w:r w:rsidR="00BC2A17">
        <w:rPr>
          <w:lang w:val="en-US"/>
        </w:rPr>
        <w:t>i</w:t>
      </w:r>
      <w:r w:rsidRPr="00C5504C">
        <w:rPr>
          <w:lang w:val="en-US"/>
        </w:rPr>
        <w:t xml:space="preserve">meter Wave Systems”, Vasanthan Raghavan, </w:t>
      </w:r>
      <w:proofErr w:type="spellStart"/>
      <w:r w:rsidRPr="00C5504C">
        <w:rPr>
          <w:lang w:val="en-US"/>
        </w:rPr>
        <w:t>Lida</w:t>
      </w:r>
      <w:proofErr w:type="spellEnd"/>
      <w:r w:rsidRPr="00C5504C">
        <w:rPr>
          <w:lang w:val="en-US"/>
        </w:rPr>
        <w:t xml:space="preserve"> </w:t>
      </w:r>
      <w:proofErr w:type="spellStart"/>
      <w:r w:rsidRPr="00C5504C">
        <w:rPr>
          <w:lang w:val="en-US"/>
        </w:rPr>
        <w:t>Akhoondzadeh-Asl</w:t>
      </w:r>
      <w:proofErr w:type="spellEnd"/>
      <w:r w:rsidRPr="00C5504C">
        <w:rPr>
          <w:lang w:val="en-US"/>
        </w:rPr>
        <w:t xml:space="preserve">, Vladimir </w:t>
      </w:r>
      <w:proofErr w:type="spellStart"/>
      <w:r w:rsidRPr="00C5504C">
        <w:rPr>
          <w:lang w:val="en-US"/>
        </w:rPr>
        <w:t>Podshivalov</w:t>
      </w:r>
      <w:proofErr w:type="spellEnd"/>
      <w:r w:rsidRPr="00C5504C">
        <w:rPr>
          <w:lang w:val="en-US"/>
        </w:rPr>
        <w:t xml:space="preserve">, </w:t>
      </w:r>
      <w:proofErr w:type="spellStart"/>
      <w:r w:rsidRPr="00C5504C">
        <w:rPr>
          <w:lang w:val="en-US"/>
        </w:rPr>
        <w:t>Joakim</w:t>
      </w:r>
      <w:proofErr w:type="spellEnd"/>
      <w:r w:rsidRPr="00C5504C">
        <w:rPr>
          <w:lang w:val="en-US"/>
        </w:rPr>
        <w:t xml:space="preserve"> </w:t>
      </w:r>
      <w:proofErr w:type="spellStart"/>
      <w:r w:rsidRPr="00C5504C">
        <w:rPr>
          <w:lang w:val="en-US"/>
        </w:rPr>
        <w:t>Hulten</w:t>
      </w:r>
      <w:proofErr w:type="spellEnd"/>
      <w:r w:rsidRPr="00C5504C">
        <w:rPr>
          <w:lang w:val="en-US"/>
        </w:rPr>
        <w:t>,</w:t>
      </w:r>
      <w:r>
        <w:rPr>
          <w:lang w:val="en-US"/>
        </w:rPr>
        <w:t xml:space="preserve"> </w:t>
      </w:r>
      <w:r w:rsidRPr="00C5504C">
        <w:rPr>
          <w:lang w:val="en-US"/>
        </w:rPr>
        <w:t xml:space="preserve">M. Ali Tassoudji, Ozge </w:t>
      </w:r>
      <w:proofErr w:type="spellStart"/>
      <w:r w:rsidRPr="00C5504C">
        <w:rPr>
          <w:lang w:val="en-US"/>
        </w:rPr>
        <w:t>Hizir</w:t>
      </w:r>
      <w:proofErr w:type="spellEnd"/>
      <w:r w:rsidRPr="00C5504C">
        <w:rPr>
          <w:lang w:val="en-US"/>
        </w:rPr>
        <w:t xml:space="preserve"> Koymen, Ashwin Sampath, and Junyi Li</w:t>
      </w:r>
      <w:r>
        <w:rPr>
          <w:lang w:val="en-US"/>
        </w:rPr>
        <w:t xml:space="preserve">. Submitted to </w:t>
      </w:r>
      <w:r w:rsidRPr="00C5504C">
        <w:rPr>
          <w:i/>
          <w:lang w:val="en-US"/>
        </w:rPr>
        <w:t>IEEE Transactions on Antennas and Propagation</w:t>
      </w:r>
      <w:r>
        <w:rPr>
          <w:lang w:val="en-US"/>
        </w:rPr>
        <w:t xml:space="preserve">, available at: </w:t>
      </w:r>
      <w:hyperlink r:id="rId15" w:history="1">
        <w:r w:rsidRPr="004C2081">
          <w:rPr>
            <w:rStyle w:val="Hyperlink"/>
            <w:lang w:val="en-US"/>
          </w:rPr>
          <w:t>https://arxiv.org/abs/1801.03346</w:t>
        </w:r>
      </w:hyperlink>
      <w:r>
        <w:rPr>
          <w:lang w:val="en-US"/>
        </w:rPr>
        <w:t>.</w:t>
      </w:r>
      <w:bookmarkEnd w:id="27"/>
    </w:p>
    <w:p w14:paraId="04881EA8" w14:textId="139DDD7E" w:rsidR="006934D1" w:rsidRPr="00414253" w:rsidRDefault="008144AC" w:rsidP="008144AC">
      <w:pPr>
        <w:pStyle w:val="ListParagraph"/>
        <w:numPr>
          <w:ilvl w:val="0"/>
          <w:numId w:val="2"/>
        </w:numPr>
        <w:jc w:val="both"/>
        <w:rPr>
          <w:lang w:val="en-US"/>
        </w:rPr>
      </w:pPr>
      <w:bookmarkStart w:id="28" w:name="_Ref503535535"/>
      <w:r>
        <w:rPr>
          <w:lang w:val="en-US"/>
        </w:rPr>
        <w:t>R4-1800864</w:t>
      </w:r>
      <w:r w:rsidR="006934D1">
        <w:rPr>
          <w:lang w:val="en-US"/>
        </w:rPr>
        <w:t>, “</w:t>
      </w:r>
      <w:r w:rsidRPr="008144AC">
        <w:rPr>
          <w:lang w:val="en-US"/>
        </w:rPr>
        <w:t>Preliminary results on mmW NR Coverage and Capacity: sensitivity to UE EIRP</w:t>
      </w:r>
      <w:r w:rsidR="006934D1">
        <w:rPr>
          <w:lang w:val="en-US"/>
        </w:rPr>
        <w:t>”, Qualcomm Incorporated.</w:t>
      </w:r>
      <w:bookmarkEnd w:id="28"/>
    </w:p>
    <w:p w14:paraId="55D2C8E2" w14:textId="595D7142" w:rsidR="00681175" w:rsidRPr="007E5EA5" w:rsidRDefault="007C1963" w:rsidP="007E5EA5">
      <w:pPr>
        <w:pStyle w:val="ListParagraph"/>
        <w:numPr>
          <w:ilvl w:val="0"/>
          <w:numId w:val="2"/>
        </w:numPr>
        <w:spacing w:after="160" w:line="256" w:lineRule="auto"/>
        <w:jc w:val="both"/>
        <w:textAlignment w:val="auto"/>
        <w:rPr>
          <w:lang w:val="en-US"/>
        </w:rPr>
      </w:pPr>
      <w:bookmarkStart w:id="29" w:name="_Ref503264571"/>
      <w:r>
        <w:rPr>
          <w:lang w:val="en-US"/>
        </w:rPr>
        <w:t>R4-1800863</w:t>
      </w:r>
      <w:r w:rsidR="00A9574F">
        <w:rPr>
          <w:lang w:val="en-US"/>
        </w:rPr>
        <w:t>, “</w:t>
      </w:r>
      <w:r w:rsidRPr="007C1963">
        <w:rPr>
          <w:lang w:val="en-US"/>
        </w:rPr>
        <w:t>On mmW NR Coverage and Capacity - Impact of Spherical Coverage</w:t>
      </w:r>
      <w:r w:rsidR="00A9574F">
        <w:rPr>
          <w:lang w:val="en-US"/>
        </w:rPr>
        <w:t>”, Qualcomm Incorporated.</w:t>
      </w:r>
      <w:bookmarkEnd w:id="29"/>
      <w:bookmarkEnd w:id="0"/>
    </w:p>
    <w:sectPr w:rsidR="00681175" w:rsidRPr="007E5EA5" w:rsidSect="007D2899">
      <w:footerReference w:type="even" r:id="rId16"/>
      <w:footerReference w:type="default" r:id="rId17"/>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33A147" w14:textId="77777777" w:rsidR="005B489C" w:rsidRDefault="005B489C">
      <w:r>
        <w:separator/>
      </w:r>
    </w:p>
  </w:endnote>
  <w:endnote w:type="continuationSeparator" w:id="0">
    <w:p w14:paraId="163CF808" w14:textId="77777777" w:rsidR="005B489C" w:rsidRDefault="005B4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DCF5" w14:textId="77777777" w:rsidR="00BB66F5" w:rsidRDefault="00BB66F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31B811E" w14:textId="77777777" w:rsidR="00BB66F5" w:rsidRDefault="00BB66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6A9E3C" w14:textId="79985416" w:rsidR="00BB66F5" w:rsidRDefault="00BB66F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33BD5">
      <w:rPr>
        <w:rStyle w:val="PageNumber"/>
      </w:rPr>
      <w:t>10</w:t>
    </w:r>
    <w:r>
      <w:rPr>
        <w:rStyle w:val="PageNumber"/>
      </w:rPr>
      <w:fldChar w:fldCharType="end"/>
    </w:r>
  </w:p>
  <w:p w14:paraId="21455E62" w14:textId="77777777" w:rsidR="00BB66F5" w:rsidRDefault="00BB66F5">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41C257" w14:textId="77777777" w:rsidR="005B489C" w:rsidRDefault="005B489C">
      <w:r>
        <w:separator/>
      </w:r>
    </w:p>
  </w:footnote>
  <w:footnote w:type="continuationSeparator" w:id="0">
    <w:p w14:paraId="75184450" w14:textId="77777777" w:rsidR="005B489C" w:rsidRDefault="005B48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234FF5"/>
    <w:multiLevelType w:val="hybridMultilevel"/>
    <w:tmpl w:val="81A2B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4779DD"/>
    <w:multiLevelType w:val="hybridMultilevel"/>
    <w:tmpl w:val="BDE48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F2B78"/>
    <w:multiLevelType w:val="hybridMultilevel"/>
    <w:tmpl w:val="A4B66B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D14D6B"/>
    <w:multiLevelType w:val="hybridMultilevel"/>
    <w:tmpl w:val="7BCA8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3F197E"/>
    <w:multiLevelType w:val="hybridMultilevel"/>
    <w:tmpl w:val="36967E3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6D1974"/>
    <w:multiLevelType w:val="hybridMultilevel"/>
    <w:tmpl w:val="5DD406FA"/>
    <w:lvl w:ilvl="0" w:tplc="04090001">
      <w:start w:val="1"/>
      <w:numFmt w:val="bullet"/>
      <w:lvlText w:val=""/>
      <w:lvlJc w:val="left"/>
      <w:pPr>
        <w:ind w:left="972" w:hanging="360"/>
      </w:pPr>
      <w:rPr>
        <w:rFonts w:ascii="Symbol" w:hAnsi="Symbol" w:hint="default"/>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7" w15:restartNumberingAfterBreak="0">
    <w:nsid w:val="15837453"/>
    <w:multiLevelType w:val="hybridMultilevel"/>
    <w:tmpl w:val="C8504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3D5306"/>
    <w:multiLevelType w:val="hybridMultilevel"/>
    <w:tmpl w:val="C090F484"/>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9" w15:restartNumberingAfterBreak="0">
    <w:nsid w:val="16E86DB5"/>
    <w:multiLevelType w:val="hybridMultilevel"/>
    <w:tmpl w:val="03589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B00BB7"/>
    <w:multiLevelType w:val="hybridMultilevel"/>
    <w:tmpl w:val="3BAEE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DB687C"/>
    <w:multiLevelType w:val="hybridMultilevel"/>
    <w:tmpl w:val="52585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2C20EE"/>
    <w:multiLevelType w:val="hybridMultilevel"/>
    <w:tmpl w:val="F1D8811C"/>
    <w:lvl w:ilvl="0" w:tplc="74AC74FA">
      <w:start w:val="1"/>
      <w:numFmt w:val="bullet"/>
      <w:lvlText w:val="•"/>
      <w:lvlJc w:val="left"/>
      <w:pPr>
        <w:tabs>
          <w:tab w:val="num" w:pos="720"/>
        </w:tabs>
        <w:ind w:left="720" w:hanging="360"/>
      </w:pPr>
      <w:rPr>
        <w:rFonts w:ascii="Arial" w:hAnsi="Arial" w:hint="default"/>
      </w:rPr>
    </w:lvl>
    <w:lvl w:ilvl="1" w:tplc="388CD23E">
      <w:numFmt w:val="bullet"/>
      <w:lvlText w:val="–"/>
      <w:lvlJc w:val="left"/>
      <w:pPr>
        <w:tabs>
          <w:tab w:val="num" w:pos="1440"/>
        </w:tabs>
        <w:ind w:left="1440" w:hanging="360"/>
      </w:pPr>
      <w:rPr>
        <w:rFonts w:ascii="Arial" w:hAnsi="Arial" w:hint="default"/>
      </w:rPr>
    </w:lvl>
    <w:lvl w:ilvl="2" w:tplc="332472C6" w:tentative="1">
      <w:start w:val="1"/>
      <w:numFmt w:val="bullet"/>
      <w:lvlText w:val="•"/>
      <w:lvlJc w:val="left"/>
      <w:pPr>
        <w:tabs>
          <w:tab w:val="num" w:pos="2160"/>
        </w:tabs>
        <w:ind w:left="2160" w:hanging="360"/>
      </w:pPr>
      <w:rPr>
        <w:rFonts w:ascii="Arial" w:hAnsi="Arial" w:hint="default"/>
      </w:rPr>
    </w:lvl>
    <w:lvl w:ilvl="3" w:tplc="A6E427D8" w:tentative="1">
      <w:start w:val="1"/>
      <w:numFmt w:val="bullet"/>
      <w:lvlText w:val="•"/>
      <w:lvlJc w:val="left"/>
      <w:pPr>
        <w:tabs>
          <w:tab w:val="num" w:pos="2880"/>
        </w:tabs>
        <w:ind w:left="2880" w:hanging="360"/>
      </w:pPr>
      <w:rPr>
        <w:rFonts w:ascii="Arial" w:hAnsi="Arial" w:hint="default"/>
      </w:rPr>
    </w:lvl>
    <w:lvl w:ilvl="4" w:tplc="1172ABA4" w:tentative="1">
      <w:start w:val="1"/>
      <w:numFmt w:val="bullet"/>
      <w:lvlText w:val="•"/>
      <w:lvlJc w:val="left"/>
      <w:pPr>
        <w:tabs>
          <w:tab w:val="num" w:pos="3600"/>
        </w:tabs>
        <w:ind w:left="3600" w:hanging="360"/>
      </w:pPr>
      <w:rPr>
        <w:rFonts w:ascii="Arial" w:hAnsi="Arial" w:hint="default"/>
      </w:rPr>
    </w:lvl>
    <w:lvl w:ilvl="5" w:tplc="4B042A5A" w:tentative="1">
      <w:start w:val="1"/>
      <w:numFmt w:val="bullet"/>
      <w:lvlText w:val="•"/>
      <w:lvlJc w:val="left"/>
      <w:pPr>
        <w:tabs>
          <w:tab w:val="num" w:pos="4320"/>
        </w:tabs>
        <w:ind w:left="4320" w:hanging="360"/>
      </w:pPr>
      <w:rPr>
        <w:rFonts w:ascii="Arial" w:hAnsi="Arial" w:hint="default"/>
      </w:rPr>
    </w:lvl>
    <w:lvl w:ilvl="6" w:tplc="38A69DFA" w:tentative="1">
      <w:start w:val="1"/>
      <w:numFmt w:val="bullet"/>
      <w:lvlText w:val="•"/>
      <w:lvlJc w:val="left"/>
      <w:pPr>
        <w:tabs>
          <w:tab w:val="num" w:pos="5040"/>
        </w:tabs>
        <w:ind w:left="5040" w:hanging="360"/>
      </w:pPr>
      <w:rPr>
        <w:rFonts w:ascii="Arial" w:hAnsi="Arial" w:hint="default"/>
      </w:rPr>
    </w:lvl>
    <w:lvl w:ilvl="7" w:tplc="046E56E0" w:tentative="1">
      <w:start w:val="1"/>
      <w:numFmt w:val="bullet"/>
      <w:lvlText w:val="•"/>
      <w:lvlJc w:val="left"/>
      <w:pPr>
        <w:tabs>
          <w:tab w:val="num" w:pos="5760"/>
        </w:tabs>
        <w:ind w:left="5760" w:hanging="360"/>
      </w:pPr>
      <w:rPr>
        <w:rFonts w:ascii="Arial" w:hAnsi="Arial" w:hint="default"/>
      </w:rPr>
    </w:lvl>
    <w:lvl w:ilvl="8" w:tplc="2AE632F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2FF5789"/>
    <w:multiLevelType w:val="hybridMultilevel"/>
    <w:tmpl w:val="CB924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362315"/>
    <w:multiLevelType w:val="hybridMultilevel"/>
    <w:tmpl w:val="09D2F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5F3F15"/>
    <w:multiLevelType w:val="hybridMultilevel"/>
    <w:tmpl w:val="A6D84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2FD12F8F"/>
    <w:multiLevelType w:val="hybridMultilevel"/>
    <w:tmpl w:val="9FC85F66"/>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8" w15:restartNumberingAfterBreak="0">
    <w:nsid w:val="2FFD29B0"/>
    <w:multiLevelType w:val="hybridMultilevel"/>
    <w:tmpl w:val="EE98D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2F22808"/>
    <w:multiLevelType w:val="hybridMultilevel"/>
    <w:tmpl w:val="052A6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4B5C24"/>
    <w:multiLevelType w:val="hybridMultilevel"/>
    <w:tmpl w:val="4F2227C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2" w15:restartNumberingAfterBreak="0">
    <w:nsid w:val="34F72290"/>
    <w:multiLevelType w:val="hybridMultilevel"/>
    <w:tmpl w:val="2BE69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0C5ED2"/>
    <w:multiLevelType w:val="hybridMultilevel"/>
    <w:tmpl w:val="CFAEE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464B7FAA"/>
    <w:multiLevelType w:val="hybridMultilevel"/>
    <w:tmpl w:val="E0E0B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066AC0"/>
    <w:multiLevelType w:val="hybridMultilevel"/>
    <w:tmpl w:val="3678FF70"/>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1A27BF"/>
    <w:multiLevelType w:val="hybridMultilevel"/>
    <w:tmpl w:val="24B45D38"/>
    <w:lvl w:ilvl="0" w:tplc="A00A42D6">
      <w:start w:val="1"/>
      <w:numFmt w:val="bullet"/>
      <w:lvlText w:val="•"/>
      <w:lvlJc w:val="left"/>
      <w:pPr>
        <w:tabs>
          <w:tab w:val="num" w:pos="720"/>
        </w:tabs>
        <w:ind w:left="720" w:hanging="360"/>
      </w:pPr>
      <w:rPr>
        <w:rFonts w:ascii="Arial" w:hAnsi="Arial" w:hint="default"/>
      </w:rPr>
    </w:lvl>
    <w:lvl w:ilvl="1" w:tplc="5BD6AD6A">
      <w:numFmt w:val="bullet"/>
      <w:lvlText w:val="•"/>
      <w:lvlJc w:val="left"/>
      <w:pPr>
        <w:tabs>
          <w:tab w:val="num" w:pos="1440"/>
        </w:tabs>
        <w:ind w:left="1440" w:hanging="360"/>
      </w:pPr>
      <w:rPr>
        <w:rFonts w:ascii="Arial" w:hAnsi="Arial" w:hint="default"/>
      </w:rPr>
    </w:lvl>
    <w:lvl w:ilvl="2" w:tplc="408C9418" w:tentative="1">
      <w:start w:val="1"/>
      <w:numFmt w:val="bullet"/>
      <w:lvlText w:val="•"/>
      <w:lvlJc w:val="left"/>
      <w:pPr>
        <w:tabs>
          <w:tab w:val="num" w:pos="2160"/>
        </w:tabs>
        <w:ind w:left="2160" w:hanging="360"/>
      </w:pPr>
      <w:rPr>
        <w:rFonts w:ascii="Arial" w:hAnsi="Arial" w:hint="default"/>
      </w:rPr>
    </w:lvl>
    <w:lvl w:ilvl="3" w:tplc="D53C0396" w:tentative="1">
      <w:start w:val="1"/>
      <w:numFmt w:val="bullet"/>
      <w:lvlText w:val="•"/>
      <w:lvlJc w:val="left"/>
      <w:pPr>
        <w:tabs>
          <w:tab w:val="num" w:pos="2880"/>
        </w:tabs>
        <w:ind w:left="2880" w:hanging="360"/>
      </w:pPr>
      <w:rPr>
        <w:rFonts w:ascii="Arial" w:hAnsi="Arial" w:hint="default"/>
      </w:rPr>
    </w:lvl>
    <w:lvl w:ilvl="4" w:tplc="FC445E4E" w:tentative="1">
      <w:start w:val="1"/>
      <w:numFmt w:val="bullet"/>
      <w:lvlText w:val="•"/>
      <w:lvlJc w:val="left"/>
      <w:pPr>
        <w:tabs>
          <w:tab w:val="num" w:pos="3600"/>
        </w:tabs>
        <w:ind w:left="3600" w:hanging="360"/>
      </w:pPr>
      <w:rPr>
        <w:rFonts w:ascii="Arial" w:hAnsi="Arial" w:hint="default"/>
      </w:rPr>
    </w:lvl>
    <w:lvl w:ilvl="5" w:tplc="356A9020" w:tentative="1">
      <w:start w:val="1"/>
      <w:numFmt w:val="bullet"/>
      <w:lvlText w:val="•"/>
      <w:lvlJc w:val="left"/>
      <w:pPr>
        <w:tabs>
          <w:tab w:val="num" w:pos="4320"/>
        </w:tabs>
        <w:ind w:left="4320" w:hanging="360"/>
      </w:pPr>
      <w:rPr>
        <w:rFonts w:ascii="Arial" w:hAnsi="Arial" w:hint="default"/>
      </w:rPr>
    </w:lvl>
    <w:lvl w:ilvl="6" w:tplc="8E68B860" w:tentative="1">
      <w:start w:val="1"/>
      <w:numFmt w:val="bullet"/>
      <w:lvlText w:val="•"/>
      <w:lvlJc w:val="left"/>
      <w:pPr>
        <w:tabs>
          <w:tab w:val="num" w:pos="5040"/>
        </w:tabs>
        <w:ind w:left="5040" w:hanging="360"/>
      </w:pPr>
      <w:rPr>
        <w:rFonts w:ascii="Arial" w:hAnsi="Arial" w:hint="default"/>
      </w:rPr>
    </w:lvl>
    <w:lvl w:ilvl="7" w:tplc="B3100358" w:tentative="1">
      <w:start w:val="1"/>
      <w:numFmt w:val="bullet"/>
      <w:lvlText w:val="•"/>
      <w:lvlJc w:val="left"/>
      <w:pPr>
        <w:tabs>
          <w:tab w:val="num" w:pos="5760"/>
        </w:tabs>
        <w:ind w:left="5760" w:hanging="360"/>
      </w:pPr>
      <w:rPr>
        <w:rFonts w:ascii="Arial" w:hAnsi="Arial" w:hint="default"/>
      </w:rPr>
    </w:lvl>
    <w:lvl w:ilvl="8" w:tplc="C9B831E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6FF3185"/>
    <w:multiLevelType w:val="hybridMultilevel"/>
    <w:tmpl w:val="D5326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60C81E20"/>
    <w:multiLevelType w:val="hybridMultilevel"/>
    <w:tmpl w:val="CF240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ED11043"/>
    <w:multiLevelType w:val="hybridMultilevel"/>
    <w:tmpl w:val="12A81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6FD62B18"/>
    <w:multiLevelType w:val="hybridMultilevel"/>
    <w:tmpl w:val="09B01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FC5B56"/>
    <w:multiLevelType w:val="hybridMultilevel"/>
    <w:tmpl w:val="9D184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21571C9"/>
    <w:multiLevelType w:val="hybridMultilevel"/>
    <w:tmpl w:val="D8BEA5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5B49BD"/>
    <w:multiLevelType w:val="hybridMultilevel"/>
    <w:tmpl w:val="445CE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4"/>
  </w:num>
  <w:num w:numId="2">
    <w:abstractNumId w:val="32"/>
  </w:num>
  <w:num w:numId="3">
    <w:abstractNumId w:val="35"/>
  </w:num>
  <w:num w:numId="4">
    <w:abstractNumId w:val="40"/>
  </w:num>
  <w:num w:numId="5">
    <w:abstractNumId w:val="30"/>
  </w:num>
  <w:num w:numId="6">
    <w:abstractNumId w:val="16"/>
  </w:num>
  <w:num w:numId="7">
    <w:abstractNumId w:val="5"/>
  </w:num>
  <w:num w:numId="8">
    <w:abstractNumId w:val="33"/>
  </w:num>
  <w:num w:numId="9">
    <w:abstractNumId w:val="19"/>
  </w:num>
  <w:num w:numId="10">
    <w:abstractNumId w:val="27"/>
  </w:num>
  <w:num w:numId="11">
    <w:abstractNumId w:val="41"/>
  </w:num>
  <w:num w:numId="12">
    <w:abstractNumId w:val="4"/>
  </w:num>
  <w:num w:numId="13">
    <w:abstractNumId w:val="3"/>
  </w:num>
  <w:num w:numId="14">
    <w:abstractNumId w:val="21"/>
  </w:num>
  <w:num w:numId="15">
    <w:abstractNumId w:val="25"/>
  </w:num>
  <w:num w:numId="16">
    <w:abstractNumId w:val="11"/>
  </w:num>
  <w:num w:numId="17">
    <w:abstractNumId w:val="39"/>
  </w:num>
  <w:num w:numId="18">
    <w:abstractNumId w:val="18"/>
  </w:num>
  <w:num w:numId="19">
    <w:abstractNumId w:val="0"/>
  </w:num>
  <w:num w:numId="20">
    <w:abstractNumId w:val="10"/>
  </w:num>
  <w:num w:numId="21">
    <w:abstractNumId w:val="12"/>
  </w:num>
  <w:num w:numId="22">
    <w:abstractNumId w:val="1"/>
  </w:num>
  <w:num w:numId="23">
    <w:abstractNumId w:val="8"/>
  </w:num>
  <w:num w:numId="24">
    <w:abstractNumId w:val="15"/>
  </w:num>
  <w:num w:numId="25">
    <w:abstractNumId w:val="34"/>
  </w:num>
  <w:num w:numId="26">
    <w:abstractNumId w:val="20"/>
  </w:num>
  <w:num w:numId="27">
    <w:abstractNumId w:val="37"/>
  </w:num>
  <w:num w:numId="28">
    <w:abstractNumId w:val="31"/>
  </w:num>
  <w:num w:numId="29">
    <w:abstractNumId w:val="2"/>
  </w:num>
  <w:num w:numId="30">
    <w:abstractNumId w:val="29"/>
  </w:num>
  <w:num w:numId="31">
    <w:abstractNumId w:val="9"/>
  </w:num>
  <w:num w:numId="32">
    <w:abstractNumId w:val="6"/>
  </w:num>
  <w:num w:numId="33">
    <w:abstractNumId w:val="14"/>
  </w:num>
  <w:num w:numId="34">
    <w:abstractNumId w:val="23"/>
  </w:num>
  <w:num w:numId="35">
    <w:abstractNumId w:val="13"/>
  </w:num>
  <w:num w:numId="36">
    <w:abstractNumId w:val="36"/>
  </w:num>
  <w:num w:numId="37">
    <w:abstractNumId w:val="28"/>
  </w:num>
  <w:num w:numId="38">
    <w:abstractNumId w:val="17"/>
  </w:num>
  <w:num w:numId="39">
    <w:abstractNumId w:val="22"/>
  </w:num>
  <w:num w:numId="40">
    <w:abstractNumId w:val="26"/>
  </w:num>
  <w:num w:numId="41">
    <w:abstractNumId w:val="7"/>
  </w:num>
  <w:num w:numId="42">
    <w:abstractNumId w:val="3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2F03"/>
    <w:rsid w:val="0000301D"/>
    <w:rsid w:val="00003883"/>
    <w:rsid w:val="000041C7"/>
    <w:rsid w:val="000046FB"/>
    <w:rsid w:val="00004873"/>
    <w:rsid w:val="000048AD"/>
    <w:rsid w:val="00006110"/>
    <w:rsid w:val="00006186"/>
    <w:rsid w:val="00006198"/>
    <w:rsid w:val="0000667F"/>
    <w:rsid w:val="00006710"/>
    <w:rsid w:val="00006C4A"/>
    <w:rsid w:val="0000791A"/>
    <w:rsid w:val="00010442"/>
    <w:rsid w:val="00010EE0"/>
    <w:rsid w:val="0001181D"/>
    <w:rsid w:val="00011B0B"/>
    <w:rsid w:val="00011C44"/>
    <w:rsid w:val="00011EBB"/>
    <w:rsid w:val="000123B3"/>
    <w:rsid w:val="00012B14"/>
    <w:rsid w:val="000138F3"/>
    <w:rsid w:val="00013A12"/>
    <w:rsid w:val="0001409E"/>
    <w:rsid w:val="000142DE"/>
    <w:rsid w:val="0001465F"/>
    <w:rsid w:val="00014E79"/>
    <w:rsid w:val="00014FFF"/>
    <w:rsid w:val="000162FA"/>
    <w:rsid w:val="0001656C"/>
    <w:rsid w:val="000167F5"/>
    <w:rsid w:val="00016A3A"/>
    <w:rsid w:val="0001723C"/>
    <w:rsid w:val="00017A58"/>
    <w:rsid w:val="00017CD3"/>
    <w:rsid w:val="0002038B"/>
    <w:rsid w:val="00020464"/>
    <w:rsid w:val="00020690"/>
    <w:rsid w:val="00020973"/>
    <w:rsid w:val="000213F5"/>
    <w:rsid w:val="00021760"/>
    <w:rsid w:val="0002180A"/>
    <w:rsid w:val="00021DD2"/>
    <w:rsid w:val="00022E7C"/>
    <w:rsid w:val="000233AC"/>
    <w:rsid w:val="0002395B"/>
    <w:rsid w:val="00023BE6"/>
    <w:rsid w:val="000246F5"/>
    <w:rsid w:val="000248EA"/>
    <w:rsid w:val="00024B6A"/>
    <w:rsid w:val="000252B3"/>
    <w:rsid w:val="00026854"/>
    <w:rsid w:val="00026A8A"/>
    <w:rsid w:val="00026BDF"/>
    <w:rsid w:val="00026DB4"/>
    <w:rsid w:val="00027229"/>
    <w:rsid w:val="0002737D"/>
    <w:rsid w:val="00027F27"/>
    <w:rsid w:val="00030390"/>
    <w:rsid w:val="00030480"/>
    <w:rsid w:val="0003108E"/>
    <w:rsid w:val="000311C6"/>
    <w:rsid w:val="000317A7"/>
    <w:rsid w:val="00031A32"/>
    <w:rsid w:val="00032B55"/>
    <w:rsid w:val="0003352E"/>
    <w:rsid w:val="0003375A"/>
    <w:rsid w:val="00033B9A"/>
    <w:rsid w:val="00034928"/>
    <w:rsid w:val="00034D4C"/>
    <w:rsid w:val="00034F8D"/>
    <w:rsid w:val="0003558C"/>
    <w:rsid w:val="00035828"/>
    <w:rsid w:val="000364DC"/>
    <w:rsid w:val="0003668C"/>
    <w:rsid w:val="00036F82"/>
    <w:rsid w:val="0003707C"/>
    <w:rsid w:val="000378CF"/>
    <w:rsid w:val="0003794F"/>
    <w:rsid w:val="00037991"/>
    <w:rsid w:val="00037F8C"/>
    <w:rsid w:val="000405D1"/>
    <w:rsid w:val="00040B11"/>
    <w:rsid w:val="000420FB"/>
    <w:rsid w:val="00043184"/>
    <w:rsid w:val="00043D07"/>
    <w:rsid w:val="00043DDF"/>
    <w:rsid w:val="000446FD"/>
    <w:rsid w:val="0004511D"/>
    <w:rsid w:val="00045318"/>
    <w:rsid w:val="00045774"/>
    <w:rsid w:val="00045D7C"/>
    <w:rsid w:val="00045F53"/>
    <w:rsid w:val="00046069"/>
    <w:rsid w:val="0004795F"/>
    <w:rsid w:val="00047A40"/>
    <w:rsid w:val="00047BD8"/>
    <w:rsid w:val="00051030"/>
    <w:rsid w:val="00052BBE"/>
    <w:rsid w:val="00053E42"/>
    <w:rsid w:val="00054510"/>
    <w:rsid w:val="000549BA"/>
    <w:rsid w:val="000550EF"/>
    <w:rsid w:val="00055B21"/>
    <w:rsid w:val="00057067"/>
    <w:rsid w:val="000601B0"/>
    <w:rsid w:val="00061E23"/>
    <w:rsid w:val="00061F66"/>
    <w:rsid w:val="00062E5A"/>
    <w:rsid w:val="00062F52"/>
    <w:rsid w:val="00063000"/>
    <w:rsid w:val="000635C0"/>
    <w:rsid w:val="0006427B"/>
    <w:rsid w:val="000642D1"/>
    <w:rsid w:val="0006440F"/>
    <w:rsid w:val="00065A12"/>
    <w:rsid w:val="00066EEB"/>
    <w:rsid w:val="00067769"/>
    <w:rsid w:val="00070561"/>
    <w:rsid w:val="00070ECC"/>
    <w:rsid w:val="00071305"/>
    <w:rsid w:val="0007227A"/>
    <w:rsid w:val="000724BF"/>
    <w:rsid w:val="000731FD"/>
    <w:rsid w:val="00073468"/>
    <w:rsid w:val="000737DA"/>
    <w:rsid w:val="000753CE"/>
    <w:rsid w:val="0007555F"/>
    <w:rsid w:val="000769D9"/>
    <w:rsid w:val="00076DB9"/>
    <w:rsid w:val="00077FE0"/>
    <w:rsid w:val="00080292"/>
    <w:rsid w:val="0008232D"/>
    <w:rsid w:val="00082CE8"/>
    <w:rsid w:val="0008378A"/>
    <w:rsid w:val="000841A8"/>
    <w:rsid w:val="00084301"/>
    <w:rsid w:val="0008452A"/>
    <w:rsid w:val="00084BE4"/>
    <w:rsid w:val="0008544F"/>
    <w:rsid w:val="00085C24"/>
    <w:rsid w:val="00085DB7"/>
    <w:rsid w:val="0008682B"/>
    <w:rsid w:val="0008686F"/>
    <w:rsid w:val="00087D4B"/>
    <w:rsid w:val="00090BB8"/>
    <w:rsid w:val="00092919"/>
    <w:rsid w:val="00092A89"/>
    <w:rsid w:val="00092DCA"/>
    <w:rsid w:val="00092E07"/>
    <w:rsid w:val="000937D2"/>
    <w:rsid w:val="000940C0"/>
    <w:rsid w:val="0009458D"/>
    <w:rsid w:val="00094FFF"/>
    <w:rsid w:val="00095593"/>
    <w:rsid w:val="00095BDC"/>
    <w:rsid w:val="00096131"/>
    <w:rsid w:val="00096860"/>
    <w:rsid w:val="00096CA2"/>
    <w:rsid w:val="000972E8"/>
    <w:rsid w:val="00097818"/>
    <w:rsid w:val="00097BF2"/>
    <w:rsid w:val="00097CFE"/>
    <w:rsid w:val="000A00A8"/>
    <w:rsid w:val="000A08AB"/>
    <w:rsid w:val="000A0FE2"/>
    <w:rsid w:val="000A1326"/>
    <w:rsid w:val="000A1A26"/>
    <w:rsid w:val="000A1AF9"/>
    <w:rsid w:val="000A2153"/>
    <w:rsid w:val="000A2A53"/>
    <w:rsid w:val="000A2D07"/>
    <w:rsid w:val="000A31E0"/>
    <w:rsid w:val="000A3A69"/>
    <w:rsid w:val="000A3BD7"/>
    <w:rsid w:val="000A47CD"/>
    <w:rsid w:val="000A561C"/>
    <w:rsid w:val="000A6602"/>
    <w:rsid w:val="000A697D"/>
    <w:rsid w:val="000A786A"/>
    <w:rsid w:val="000A79E3"/>
    <w:rsid w:val="000B0B23"/>
    <w:rsid w:val="000B2044"/>
    <w:rsid w:val="000B2203"/>
    <w:rsid w:val="000B24B0"/>
    <w:rsid w:val="000B2A42"/>
    <w:rsid w:val="000B2EFB"/>
    <w:rsid w:val="000B327D"/>
    <w:rsid w:val="000B37AA"/>
    <w:rsid w:val="000B434A"/>
    <w:rsid w:val="000B4A4D"/>
    <w:rsid w:val="000B5030"/>
    <w:rsid w:val="000B5EE7"/>
    <w:rsid w:val="000B5FC6"/>
    <w:rsid w:val="000B6D46"/>
    <w:rsid w:val="000B6D65"/>
    <w:rsid w:val="000C02FD"/>
    <w:rsid w:val="000C084C"/>
    <w:rsid w:val="000C086D"/>
    <w:rsid w:val="000C0B1F"/>
    <w:rsid w:val="000C0FD7"/>
    <w:rsid w:val="000C1C8F"/>
    <w:rsid w:val="000C1EBE"/>
    <w:rsid w:val="000C1F3E"/>
    <w:rsid w:val="000C26E0"/>
    <w:rsid w:val="000C347D"/>
    <w:rsid w:val="000C4A55"/>
    <w:rsid w:val="000C4A8B"/>
    <w:rsid w:val="000C5396"/>
    <w:rsid w:val="000C5EE5"/>
    <w:rsid w:val="000C655C"/>
    <w:rsid w:val="000C6650"/>
    <w:rsid w:val="000C6CBF"/>
    <w:rsid w:val="000C73B4"/>
    <w:rsid w:val="000C7712"/>
    <w:rsid w:val="000C7C97"/>
    <w:rsid w:val="000C7DB2"/>
    <w:rsid w:val="000C7E14"/>
    <w:rsid w:val="000D01BA"/>
    <w:rsid w:val="000D1498"/>
    <w:rsid w:val="000D19C5"/>
    <w:rsid w:val="000D1A28"/>
    <w:rsid w:val="000D1B62"/>
    <w:rsid w:val="000D2B1D"/>
    <w:rsid w:val="000D2DDE"/>
    <w:rsid w:val="000D2E2A"/>
    <w:rsid w:val="000D3487"/>
    <w:rsid w:val="000D3CB5"/>
    <w:rsid w:val="000D3F15"/>
    <w:rsid w:val="000D4716"/>
    <w:rsid w:val="000D4E0C"/>
    <w:rsid w:val="000D6053"/>
    <w:rsid w:val="000D692E"/>
    <w:rsid w:val="000D7224"/>
    <w:rsid w:val="000D7293"/>
    <w:rsid w:val="000D7652"/>
    <w:rsid w:val="000E04BA"/>
    <w:rsid w:val="000E0602"/>
    <w:rsid w:val="000E1041"/>
    <w:rsid w:val="000E1046"/>
    <w:rsid w:val="000E2463"/>
    <w:rsid w:val="000E263E"/>
    <w:rsid w:val="000E2C23"/>
    <w:rsid w:val="000E2DE2"/>
    <w:rsid w:val="000E39A2"/>
    <w:rsid w:val="000E3B40"/>
    <w:rsid w:val="000E3D46"/>
    <w:rsid w:val="000E3DD1"/>
    <w:rsid w:val="000E3E4E"/>
    <w:rsid w:val="000E41EF"/>
    <w:rsid w:val="000E438A"/>
    <w:rsid w:val="000E4C50"/>
    <w:rsid w:val="000E58CF"/>
    <w:rsid w:val="000E5C51"/>
    <w:rsid w:val="000E5DB5"/>
    <w:rsid w:val="000E6208"/>
    <w:rsid w:val="000E67CC"/>
    <w:rsid w:val="000E7250"/>
    <w:rsid w:val="000F0969"/>
    <w:rsid w:val="000F0E0B"/>
    <w:rsid w:val="000F1DA5"/>
    <w:rsid w:val="000F5A74"/>
    <w:rsid w:val="000F5EAE"/>
    <w:rsid w:val="000F6E95"/>
    <w:rsid w:val="000F771B"/>
    <w:rsid w:val="000F78E2"/>
    <w:rsid w:val="000F79D0"/>
    <w:rsid w:val="000F7FD7"/>
    <w:rsid w:val="001005AA"/>
    <w:rsid w:val="0010071D"/>
    <w:rsid w:val="00100DEB"/>
    <w:rsid w:val="0010132C"/>
    <w:rsid w:val="00101DBD"/>
    <w:rsid w:val="00102320"/>
    <w:rsid w:val="00102563"/>
    <w:rsid w:val="00104258"/>
    <w:rsid w:val="00104417"/>
    <w:rsid w:val="00104483"/>
    <w:rsid w:val="00104B7E"/>
    <w:rsid w:val="0010570F"/>
    <w:rsid w:val="00106117"/>
    <w:rsid w:val="00106E80"/>
    <w:rsid w:val="001072D7"/>
    <w:rsid w:val="001118C5"/>
    <w:rsid w:val="00112756"/>
    <w:rsid w:val="00112A1A"/>
    <w:rsid w:val="00112DA6"/>
    <w:rsid w:val="001135F5"/>
    <w:rsid w:val="00113626"/>
    <w:rsid w:val="00113700"/>
    <w:rsid w:val="0011401A"/>
    <w:rsid w:val="0011435E"/>
    <w:rsid w:val="00115243"/>
    <w:rsid w:val="00116046"/>
    <w:rsid w:val="00116F74"/>
    <w:rsid w:val="001176B7"/>
    <w:rsid w:val="00117FBD"/>
    <w:rsid w:val="00122DA6"/>
    <w:rsid w:val="001239DE"/>
    <w:rsid w:val="00123B8B"/>
    <w:rsid w:val="00124252"/>
    <w:rsid w:val="00124802"/>
    <w:rsid w:val="00124944"/>
    <w:rsid w:val="00125C52"/>
    <w:rsid w:val="00126455"/>
    <w:rsid w:val="001266F1"/>
    <w:rsid w:val="00126DA5"/>
    <w:rsid w:val="001271F9"/>
    <w:rsid w:val="001274D2"/>
    <w:rsid w:val="00127E48"/>
    <w:rsid w:val="0013069C"/>
    <w:rsid w:val="00130734"/>
    <w:rsid w:val="00130ECD"/>
    <w:rsid w:val="00131FD4"/>
    <w:rsid w:val="00132472"/>
    <w:rsid w:val="00132642"/>
    <w:rsid w:val="00132953"/>
    <w:rsid w:val="00133FDC"/>
    <w:rsid w:val="0013513B"/>
    <w:rsid w:val="0013546D"/>
    <w:rsid w:val="00135E13"/>
    <w:rsid w:val="00136BDF"/>
    <w:rsid w:val="00136CBB"/>
    <w:rsid w:val="0013754C"/>
    <w:rsid w:val="00141051"/>
    <w:rsid w:val="00142046"/>
    <w:rsid w:val="0014223E"/>
    <w:rsid w:val="00142612"/>
    <w:rsid w:val="001430CD"/>
    <w:rsid w:val="00144026"/>
    <w:rsid w:val="00144095"/>
    <w:rsid w:val="001445CF"/>
    <w:rsid w:val="00144853"/>
    <w:rsid w:val="001469DA"/>
    <w:rsid w:val="00146FE7"/>
    <w:rsid w:val="001472D1"/>
    <w:rsid w:val="0014774C"/>
    <w:rsid w:val="00147D79"/>
    <w:rsid w:val="00150F51"/>
    <w:rsid w:val="001516D8"/>
    <w:rsid w:val="00151825"/>
    <w:rsid w:val="00151ABA"/>
    <w:rsid w:val="0015220E"/>
    <w:rsid w:val="0015239C"/>
    <w:rsid w:val="00153374"/>
    <w:rsid w:val="00154025"/>
    <w:rsid w:val="00154C54"/>
    <w:rsid w:val="001553C6"/>
    <w:rsid w:val="0015760F"/>
    <w:rsid w:val="0016046E"/>
    <w:rsid w:val="0016136A"/>
    <w:rsid w:val="001619CC"/>
    <w:rsid w:val="00161FE8"/>
    <w:rsid w:val="001624B9"/>
    <w:rsid w:val="00162645"/>
    <w:rsid w:val="00163472"/>
    <w:rsid w:val="00163997"/>
    <w:rsid w:val="00164879"/>
    <w:rsid w:val="0016644D"/>
    <w:rsid w:val="00167913"/>
    <w:rsid w:val="001679C5"/>
    <w:rsid w:val="00170570"/>
    <w:rsid w:val="00170C0A"/>
    <w:rsid w:val="00171766"/>
    <w:rsid w:val="00171D36"/>
    <w:rsid w:val="00174BD8"/>
    <w:rsid w:val="00175C29"/>
    <w:rsid w:val="00175EB8"/>
    <w:rsid w:val="00176652"/>
    <w:rsid w:val="00176945"/>
    <w:rsid w:val="001771D5"/>
    <w:rsid w:val="0017771E"/>
    <w:rsid w:val="00177970"/>
    <w:rsid w:val="00177F69"/>
    <w:rsid w:val="0018021E"/>
    <w:rsid w:val="00180E49"/>
    <w:rsid w:val="00181289"/>
    <w:rsid w:val="001813EF"/>
    <w:rsid w:val="00181A9B"/>
    <w:rsid w:val="001824CD"/>
    <w:rsid w:val="00182838"/>
    <w:rsid w:val="001842E4"/>
    <w:rsid w:val="00184942"/>
    <w:rsid w:val="0018555B"/>
    <w:rsid w:val="00185893"/>
    <w:rsid w:val="00185C7E"/>
    <w:rsid w:val="00186488"/>
    <w:rsid w:val="00186F99"/>
    <w:rsid w:val="0018788E"/>
    <w:rsid w:val="00187E14"/>
    <w:rsid w:val="001905F3"/>
    <w:rsid w:val="001906CF"/>
    <w:rsid w:val="00190F12"/>
    <w:rsid w:val="00191016"/>
    <w:rsid w:val="00191729"/>
    <w:rsid w:val="00191EA9"/>
    <w:rsid w:val="00192293"/>
    <w:rsid w:val="001925A9"/>
    <w:rsid w:val="001929E1"/>
    <w:rsid w:val="00193142"/>
    <w:rsid w:val="00193747"/>
    <w:rsid w:val="001942A9"/>
    <w:rsid w:val="00194403"/>
    <w:rsid w:val="00194EB2"/>
    <w:rsid w:val="00195150"/>
    <w:rsid w:val="00195C12"/>
    <w:rsid w:val="001A151F"/>
    <w:rsid w:val="001A164F"/>
    <w:rsid w:val="001A1B9D"/>
    <w:rsid w:val="001A1D6F"/>
    <w:rsid w:val="001A24F6"/>
    <w:rsid w:val="001A35DF"/>
    <w:rsid w:val="001A3E47"/>
    <w:rsid w:val="001A4813"/>
    <w:rsid w:val="001A4C57"/>
    <w:rsid w:val="001A50B1"/>
    <w:rsid w:val="001A5270"/>
    <w:rsid w:val="001A658B"/>
    <w:rsid w:val="001A6604"/>
    <w:rsid w:val="001A79A4"/>
    <w:rsid w:val="001B0041"/>
    <w:rsid w:val="001B03AB"/>
    <w:rsid w:val="001B0DAA"/>
    <w:rsid w:val="001B0F6F"/>
    <w:rsid w:val="001B12B5"/>
    <w:rsid w:val="001B15E0"/>
    <w:rsid w:val="001B180F"/>
    <w:rsid w:val="001B2140"/>
    <w:rsid w:val="001B219A"/>
    <w:rsid w:val="001B266C"/>
    <w:rsid w:val="001B2837"/>
    <w:rsid w:val="001B2B1E"/>
    <w:rsid w:val="001B2F8C"/>
    <w:rsid w:val="001B3291"/>
    <w:rsid w:val="001B4DD5"/>
    <w:rsid w:val="001B58A4"/>
    <w:rsid w:val="001B5E69"/>
    <w:rsid w:val="001B6982"/>
    <w:rsid w:val="001B6B77"/>
    <w:rsid w:val="001C22CF"/>
    <w:rsid w:val="001C24C6"/>
    <w:rsid w:val="001C2DBA"/>
    <w:rsid w:val="001C3588"/>
    <w:rsid w:val="001C3762"/>
    <w:rsid w:val="001C39F2"/>
    <w:rsid w:val="001C3D1E"/>
    <w:rsid w:val="001C3FC8"/>
    <w:rsid w:val="001C41EF"/>
    <w:rsid w:val="001C4AAD"/>
    <w:rsid w:val="001C566C"/>
    <w:rsid w:val="001C5730"/>
    <w:rsid w:val="001C584C"/>
    <w:rsid w:val="001C5DB8"/>
    <w:rsid w:val="001C6B44"/>
    <w:rsid w:val="001C7920"/>
    <w:rsid w:val="001D002A"/>
    <w:rsid w:val="001D04B9"/>
    <w:rsid w:val="001D134E"/>
    <w:rsid w:val="001D1447"/>
    <w:rsid w:val="001D1841"/>
    <w:rsid w:val="001D1E9B"/>
    <w:rsid w:val="001D2401"/>
    <w:rsid w:val="001D2645"/>
    <w:rsid w:val="001D2DC7"/>
    <w:rsid w:val="001D309C"/>
    <w:rsid w:val="001D385C"/>
    <w:rsid w:val="001D3CC1"/>
    <w:rsid w:val="001D4299"/>
    <w:rsid w:val="001D43C3"/>
    <w:rsid w:val="001D448D"/>
    <w:rsid w:val="001D45C9"/>
    <w:rsid w:val="001D472D"/>
    <w:rsid w:val="001D4ABF"/>
    <w:rsid w:val="001D4C5D"/>
    <w:rsid w:val="001D52E4"/>
    <w:rsid w:val="001D539C"/>
    <w:rsid w:val="001D57D1"/>
    <w:rsid w:val="001D6E97"/>
    <w:rsid w:val="001D791E"/>
    <w:rsid w:val="001D7BA7"/>
    <w:rsid w:val="001E0170"/>
    <w:rsid w:val="001E1023"/>
    <w:rsid w:val="001E1C0D"/>
    <w:rsid w:val="001E2ABF"/>
    <w:rsid w:val="001E2C3E"/>
    <w:rsid w:val="001E31EE"/>
    <w:rsid w:val="001E3856"/>
    <w:rsid w:val="001E4C42"/>
    <w:rsid w:val="001E4D00"/>
    <w:rsid w:val="001E555D"/>
    <w:rsid w:val="001E57E7"/>
    <w:rsid w:val="001E584A"/>
    <w:rsid w:val="001E5D8B"/>
    <w:rsid w:val="001E6CA2"/>
    <w:rsid w:val="001E72B9"/>
    <w:rsid w:val="001F02FC"/>
    <w:rsid w:val="001F099B"/>
    <w:rsid w:val="001F16E6"/>
    <w:rsid w:val="001F1AFB"/>
    <w:rsid w:val="001F1E8A"/>
    <w:rsid w:val="001F2C22"/>
    <w:rsid w:val="001F305F"/>
    <w:rsid w:val="001F3907"/>
    <w:rsid w:val="001F4191"/>
    <w:rsid w:val="001F47F2"/>
    <w:rsid w:val="001F4806"/>
    <w:rsid w:val="001F5A57"/>
    <w:rsid w:val="001F71DC"/>
    <w:rsid w:val="001F7246"/>
    <w:rsid w:val="001F728B"/>
    <w:rsid w:val="001F7512"/>
    <w:rsid w:val="001F786D"/>
    <w:rsid w:val="001F7D63"/>
    <w:rsid w:val="002002FE"/>
    <w:rsid w:val="00200D15"/>
    <w:rsid w:val="002019FF"/>
    <w:rsid w:val="00201CA6"/>
    <w:rsid w:val="0020242B"/>
    <w:rsid w:val="0020451B"/>
    <w:rsid w:val="00205462"/>
    <w:rsid w:val="00205A5F"/>
    <w:rsid w:val="00205AAE"/>
    <w:rsid w:val="002060E3"/>
    <w:rsid w:val="00206B59"/>
    <w:rsid w:val="00206D86"/>
    <w:rsid w:val="002076F3"/>
    <w:rsid w:val="00207A4A"/>
    <w:rsid w:val="00210570"/>
    <w:rsid w:val="0021083C"/>
    <w:rsid w:val="0021093C"/>
    <w:rsid w:val="00210CFE"/>
    <w:rsid w:val="002115F1"/>
    <w:rsid w:val="002119C5"/>
    <w:rsid w:val="002121D7"/>
    <w:rsid w:val="002127E6"/>
    <w:rsid w:val="00212C39"/>
    <w:rsid w:val="002133CA"/>
    <w:rsid w:val="002142D2"/>
    <w:rsid w:val="0021437D"/>
    <w:rsid w:val="00214749"/>
    <w:rsid w:val="00216102"/>
    <w:rsid w:val="00216121"/>
    <w:rsid w:val="00216158"/>
    <w:rsid w:val="0021749B"/>
    <w:rsid w:val="002175F8"/>
    <w:rsid w:val="002176F8"/>
    <w:rsid w:val="00217E8A"/>
    <w:rsid w:val="00220952"/>
    <w:rsid w:val="00220C9A"/>
    <w:rsid w:val="00221235"/>
    <w:rsid w:val="00221BA7"/>
    <w:rsid w:val="00221D4F"/>
    <w:rsid w:val="0022412D"/>
    <w:rsid w:val="002247C0"/>
    <w:rsid w:val="00224CA8"/>
    <w:rsid w:val="0022544D"/>
    <w:rsid w:val="0022639F"/>
    <w:rsid w:val="00227278"/>
    <w:rsid w:val="00230C94"/>
    <w:rsid w:val="00230EB7"/>
    <w:rsid w:val="00230EC6"/>
    <w:rsid w:val="002318D1"/>
    <w:rsid w:val="00231913"/>
    <w:rsid w:val="002342B0"/>
    <w:rsid w:val="00234C5F"/>
    <w:rsid w:val="0023565D"/>
    <w:rsid w:val="00236663"/>
    <w:rsid w:val="0023690B"/>
    <w:rsid w:val="00236C6E"/>
    <w:rsid w:val="00236FAA"/>
    <w:rsid w:val="002370A2"/>
    <w:rsid w:val="002372E7"/>
    <w:rsid w:val="00237C95"/>
    <w:rsid w:val="00237E42"/>
    <w:rsid w:val="0024002C"/>
    <w:rsid w:val="00240451"/>
    <w:rsid w:val="00241784"/>
    <w:rsid w:val="002420FA"/>
    <w:rsid w:val="00243110"/>
    <w:rsid w:val="0024341E"/>
    <w:rsid w:val="0024520A"/>
    <w:rsid w:val="00245579"/>
    <w:rsid w:val="002461C3"/>
    <w:rsid w:val="0024755E"/>
    <w:rsid w:val="00250EF2"/>
    <w:rsid w:val="00251B67"/>
    <w:rsid w:val="00252C82"/>
    <w:rsid w:val="00252C9A"/>
    <w:rsid w:val="00252D94"/>
    <w:rsid w:val="00252DDC"/>
    <w:rsid w:val="002530BF"/>
    <w:rsid w:val="002541E7"/>
    <w:rsid w:val="0025423F"/>
    <w:rsid w:val="00254888"/>
    <w:rsid w:val="00255927"/>
    <w:rsid w:val="002559A4"/>
    <w:rsid w:val="00255C09"/>
    <w:rsid w:val="002560F6"/>
    <w:rsid w:val="00256328"/>
    <w:rsid w:val="0025637D"/>
    <w:rsid w:val="00256606"/>
    <w:rsid w:val="0025665A"/>
    <w:rsid w:val="00257344"/>
    <w:rsid w:val="00257F31"/>
    <w:rsid w:val="00260006"/>
    <w:rsid w:val="002604B0"/>
    <w:rsid w:val="00261335"/>
    <w:rsid w:val="002623A5"/>
    <w:rsid w:val="00262492"/>
    <w:rsid w:val="00262CE4"/>
    <w:rsid w:val="002635B5"/>
    <w:rsid w:val="00263B56"/>
    <w:rsid w:val="002647D1"/>
    <w:rsid w:val="00265201"/>
    <w:rsid w:val="00265359"/>
    <w:rsid w:val="002658E7"/>
    <w:rsid w:val="00266622"/>
    <w:rsid w:val="00267702"/>
    <w:rsid w:val="00267D26"/>
    <w:rsid w:val="00270F79"/>
    <w:rsid w:val="0027136E"/>
    <w:rsid w:val="00272474"/>
    <w:rsid w:val="002728BF"/>
    <w:rsid w:val="002729C7"/>
    <w:rsid w:val="00272CAE"/>
    <w:rsid w:val="002732DD"/>
    <w:rsid w:val="002739D3"/>
    <w:rsid w:val="00274205"/>
    <w:rsid w:val="0027453E"/>
    <w:rsid w:val="002746C8"/>
    <w:rsid w:val="00274925"/>
    <w:rsid w:val="0027504A"/>
    <w:rsid w:val="00276B5C"/>
    <w:rsid w:val="002778DC"/>
    <w:rsid w:val="00277B68"/>
    <w:rsid w:val="00280813"/>
    <w:rsid w:val="00280B04"/>
    <w:rsid w:val="0028105E"/>
    <w:rsid w:val="00282860"/>
    <w:rsid w:val="002834C9"/>
    <w:rsid w:val="00283AAC"/>
    <w:rsid w:val="0028415F"/>
    <w:rsid w:val="0028417E"/>
    <w:rsid w:val="00284391"/>
    <w:rsid w:val="00285070"/>
    <w:rsid w:val="00285405"/>
    <w:rsid w:val="002854F2"/>
    <w:rsid w:val="0028581F"/>
    <w:rsid w:val="002865FA"/>
    <w:rsid w:val="002869C0"/>
    <w:rsid w:val="00290FB2"/>
    <w:rsid w:val="002921C4"/>
    <w:rsid w:val="002932EC"/>
    <w:rsid w:val="00293CD0"/>
    <w:rsid w:val="00294088"/>
    <w:rsid w:val="00296186"/>
    <w:rsid w:val="00296805"/>
    <w:rsid w:val="00296B1B"/>
    <w:rsid w:val="00296B60"/>
    <w:rsid w:val="00296B7E"/>
    <w:rsid w:val="00296C72"/>
    <w:rsid w:val="00296FCC"/>
    <w:rsid w:val="0029758D"/>
    <w:rsid w:val="002976AF"/>
    <w:rsid w:val="00297836"/>
    <w:rsid w:val="00297D98"/>
    <w:rsid w:val="002A0409"/>
    <w:rsid w:val="002A0C38"/>
    <w:rsid w:val="002A129F"/>
    <w:rsid w:val="002A1AD8"/>
    <w:rsid w:val="002A1E25"/>
    <w:rsid w:val="002A23C7"/>
    <w:rsid w:val="002A3BFD"/>
    <w:rsid w:val="002A4F99"/>
    <w:rsid w:val="002A5A2D"/>
    <w:rsid w:val="002A679B"/>
    <w:rsid w:val="002A6ED0"/>
    <w:rsid w:val="002A7E09"/>
    <w:rsid w:val="002B02CB"/>
    <w:rsid w:val="002B05C7"/>
    <w:rsid w:val="002B11FF"/>
    <w:rsid w:val="002B1AB8"/>
    <w:rsid w:val="002B1C8F"/>
    <w:rsid w:val="002B2C2C"/>
    <w:rsid w:val="002B2C81"/>
    <w:rsid w:val="002B40E0"/>
    <w:rsid w:val="002B43AE"/>
    <w:rsid w:val="002B4D6F"/>
    <w:rsid w:val="002B6395"/>
    <w:rsid w:val="002B6A7C"/>
    <w:rsid w:val="002B75CC"/>
    <w:rsid w:val="002B7877"/>
    <w:rsid w:val="002C034B"/>
    <w:rsid w:val="002C144A"/>
    <w:rsid w:val="002C1E15"/>
    <w:rsid w:val="002C27CE"/>
    <w:rsid w:val="002C3188"/>
    <w:rsid w:val="002C40ED"/>
    <w:rsid w:val="002C4E58"/>
    <w:rsid w:val="002C4F68"/>
    <w:rsid w:val="002C55BD"/>
    <w:rsid w:val="002C7B2B"/>
    <w:rsid w:val="002C7C8C"/>
    <w:rsid w:val="002C7CC0"/>
    <w:rsid w:val="002D087B"/>
    <w:rsid w:val="002D0BCE"/>
    <w:rsid w:val="002D0C99"/>
    <w:rsid w:val="002D1DB1"/>
    <w:rsid w:val="002D2365"/>
    <w:rsid w:val="002D282D"/>
    <w:rsid w:val="002D3403"/>
    <w:rsid w:val="002D4919"/>
    <w:rsid w:val="002D4A80"/>
    <w:rsid w:val="002D4D1D"/>
    <w:rsid w:val="002D58A5"/>
    <w:rsid w:val="002D5DDD"/>
    <w:rsid w:val="002D606A"/>
    <w:rsid w:val="002D6C8E"/>
    <w:rsid w:val="002E0B00"/>
    <w:rsid w:val="002E173F"/>
    <w:rsid w:val="002E1743"/>
    <w:rsid w:val="002E1E6C"/>
    <w:rsid w:val="002E272E"/>
    <w:rsid w:val="002E2BE9"/>
    <w:rsid w:val="002E3540"/>
    <w:rsid w:val="002E38E3"/>
    <w:rsid w:val="002E3BD7"/>
    <w:rsid w:val="002E407E"/>
    <w:rsid w:val="002E4880"/>
    <w:rsid w:val="002E4D02"/>
    <w:rsid w:val="002E55A2"/>
    <w:rsid w:val="002E72B6"/>
    <w:rsid w:val="002E7660"/>
    <w:rsid w:val="002E7851"/>
    <w:rsid w:val="002E7B67"/>
    <w:rsid w:val="002E7B92"/>
    <w:rsid w:val="002F037C"/>
    <w:rsid w:val="002F09F6"/>
    <w:rsid w:val="002F1791"/>
    <w:rsid w:val="002F1B62"/>
    <w:rsid w:val="002F3A50"/>
    <w:rsid w:val="002F4302"/>
    <w:rsid w:val="002F48A3"/>
    <w:rsid w:val="002F48FD"/>
    <w:rsid w:val="002F4A63"/>
    <w:rsid w:val="002F4C00"/>
    <w:rsid w:val="002F4EDB"/>
    <w:rsid w:val="002F7510"/>
    <w:rsid w:val="002F7646"/>
    <w:rsid w:val="002F7C04"/>
    <w:rsid w:val="002F7E3E"/>
    <w:rsid w:val="00300433"/>
    <w:rsid w:val="00300A06"/>
    <w:rsid w:val="00301EFA"/>
    <w:rsid w:val="003023C5"/>
    <w:rsid w:val="00302414"/>
    <w:rsid w:val="00302D5C"/>
    <w:rsid w:val="003038CB"/>
    <w:rsid w:val="0030390C"/>
    <w:rsid w:val="00303E4F"/>
    <w:rsid w:val="00304479"/>
    <w:rsid w:val="003044EF"/>
    <w:rsid w:val="0030450E"/>
    <w:rsid w:val="0030471B"/>
    <w:rsid w:val="00304EC9"/>
    <w:rsid w:val="00304EE3"/>
    <w:rsid w:val="00305E70"/>
    <w:rsid w:val="00306313"/>
    <w:rsid w:val="0030648A"/>
    <w:rsid w:val="00306818"/>
    <w:rsid w:val="0031040B"/>
    <w:rsid w:val="00310840"/>
    <w:rsid w:val="00310D68"/>
    <w:rsid w:val="00311D14"/>
    <w:rsid w:val="00312EF8"/>
    <w:rsid w:val="0031488A"/>
    <w:rsid w:val="00314CDE"/>
    <w:rsid w:val="00314DB7"/>
    <w:rsid w:val="00315017"/>
    <w:rsid w:val="00316A23"/>
    <w:rsid w:val="00320B8A"/>
    <w:rsid w:val="00322EBD"/>
    <w:rsid w:val="00323057"/>
    <w:rsid w:val="00323B5B"/>
    <w:rsid w:val="00323F04"/>
    <w:rsid w:val="00324937"/>
    <w:rsid w:val="00324B0D"/>
    <w:rsid w:val="00325C68"/>
    <w:rsid w:val="00325D20"/>
    <w:rsid w:val="00326129"/>
    <w:rsid w:val="0032671E"/>
    <w:rsid w:val="003267B9"/>
    <w:rsid w:val="00327140"/>
    <w:rsid w:val="00327B03"/>
    <w:rsid w:val="00327EF9"/>
    <w:rsid w:val="00327FCD"/>
    <w:rsid w:val="00330243"/>
    <w:rsid w:val="00330DE0"/>
    <w:rsid w:val="00330EA3"/>
    <w:rsid w:val="00330F43"/>
    <w:rsid w:val="00331B89"/>
    <w:rsid w:val="00331C73"/>
    <w:rsid w:val="003324CA"/>
    <w:rsid w:val="003329FA"/>
    <w:rsid w:val="00332DD8"/>
    <w:rsid w:val="00332E3C"/>
    <w:rsid w:val="00333865"/>
    <w:rsid w:val="003338EE"/>
    <w:rsid w:val="003348EF"/>
    <w:rsid w:val="003359A3"/>
    <w:rsid w:val="003370EF"/>
    <w:rsid w:val="00337613"/>
    <w:rsid w:val="00337A5E"/>
    <w:rsid w:val="0034031F"/>
    <w:rsid w:val="00340D70"/>
    <w:rsid w:val="0034157C"/>
    <w:rsid w:val="00341F00"/>
    <w:rsid w:val="0034236C"/>
    <w:rsid w:val="003427F4"/>
    <w:rsid w:val="003459DE"/>
    <w:rsid w:val="00345CDD"/>
    <w:rsid w:val="00345FF9"/>
    <w:rsid w:val="0034613F"/>
    <w:rsid w:val="0034670C"/>
    <w:rsid w:val="00346BAD"/>
    <w:rsid w:val="003478F5"/>
    <w:rsid w:val="00347912"/>
    <w:rsid w:val="0035071D"/>
    <w:rsid w:val="003508AD"/>
    <w:rsid w:val="00352661"/>
    <w:rsid w:val="00353D8F"/>
    <w:rsid w:val="00354768"/>
    <w:rsid w:val="0035592A"/>
    <w:rsid w:val="00357459"/>
    <w:rsid w:val="00357762"/>
    <w:rsid w:val="00357B2E"/>
    <w:rsid w:val="003609F7"/>
    <w:rsid w:val="00360B4B"/>
    <w:rsid w:val="00360B6C"/>
    <w:rsid w:val="00361027"/>
    <w:rsid w:val="00361435"/>
    <w:rsid w:val="00361788"/>
    <w:rsid w:val="00362266"/>
    <w:rsid w:val="00363482"/>
    <w:rsid w:val="0036351D"/>
    <w:rsid w:val="003637F6"/>
    <w:rsid w:val="00364132"/>
    <w:rsid w:val="00364AA0"/>
    <w:rsid w:val="00364D22"/>
    <w:rsid w:val="0036548D"/>
    <w:rsid w:val="00365D22"/>
    <w:rsid w:val="0036672A"/>
    <w:rsid w:val="003667C5"/>
    <w:rsid w:val="0036684F"/>
    <w:rsid w:val="00367EDE"/>
    <w:rsid w:val="00370CDE"/>
    <w:rsid w:val="003710AC"/>
    <w:rsid w:val="003713BC"/>
    <w:rsid w:val="003715FB"/>
    <w:rsid w:val="003720AD"/>
    <w:rsid w:val="00372B4A"/>
    <w:rsid w:val="00373574"/>
    <w:rsid w:val="003736A5"/>
    <w:rsid w:val="003771B4"/>
    <w:rsid w:val="00377C74"/>
    <w:rsid w:val="00377F1B"/>
    <w:rsid w:val="00380411"/>
    <w:rsid w:val="00380CA3"/>
    <w:rsid w:val="00380D90"/>
    <w:rsid w:val="00381587"/>
    <w:rsid w:val="003818FB"/>
    <w:rsid w:val="00382216"/>
    <w:rsid w:val="0038237B"/>
    <w:rsid w:val="0038297C"/>
    <w:rsid w:val="00383181"/>
    <w:rsid w:val="00383432"/>
    <w:rsid w:val="00383571"/>
    <w:rsid w:val="00384829"/>
    <w:rsid w:val="00385043"/>
    <w:rsid w:val="00385177"/>
    <w:rsid w:val="00385D57"/>
    <w:rsid w:val="003861E5"/>
    <w:rsid w:val="00387BA4"/>
    <w:rsid w:val="00390AA4"/>
    <w:rsid w:val="00390B43"/>
    <w:rsid w:val="00391156"/>
    <w:rsid w:val="00391468"/>
    <w:rsid w:val="00391A1F"/>
    <w:rsid w:val="00391CF7"/>
    <w:rsid w:val="00392F02"/>
    <w:rsid w:val="00393306"/>
    <w:rsid w:val="0039354A"/>
    <w:rsid w:val="00393E97"/>
    <w:rsid w:val="00394151"/>
    <w:rsid w:val="00394216"/>
    <w:rsid w:val="00394A74"/>
    <w:rsid w:val="00394CC9"/>
    <w:rsid w:val="0039533D"/>
    <w:rsid w:val="003957B9"/>
    <w:rsid w:val="003959B1"/>
    <w:rsid w:val="003961A7"/>
    <w:rsid w:val="00396303"/>
    <w:rsid w:val="003963C4"/>
    <w:rsid w:val="003964AE"/>
    <w:rsid w:val="00396FEC"/>
    <w:rsid w:val="00397221"/>
    <w:rsid w:val="003975A6"/>
    <w:rsid w:val="003A06B7"/>
    <w:rsid w:val="003A14FA"/>
    <w:rsid w:val="003A196D"/>
    <w:rsid w:val="003A249A"/>
    <w:rsid w:val="003A317B"/>
    <w:rsid w:val="003A31DA"/>
    <w:rsid w:val="003A3229"/>
    <w:rsid w:val="003A3B97"/>
    <w:rsid w:val="003A47FD"/>
    <w:rsid w:val="003A4826"/>
    <w:rsid w:val="003A5417"/>
    <w:rsid w:val="003A5A21"/>
    <w:rsid w:val="003A5AA8"/>
    <w:rsid w:val="003A6236"/>
    <w:rsid w:val="003A6A23"/>
    <w:rsid w:val="003A6B12"/>
    <w:rsid w:val="003A73DF"/>
    <w:rsid w:val="003A79BE"/>
    <w:rsid w:val="003A7A72"/>
    <w:rsid w:val="003A7B83"/>
    <w:rsid w:val="003A7BB8"/>
    <w:rsid w:val="003B0495"/>
    <w:rsid w:val="003B0886"/>
    <w:rsid w:val="003B0C9D"/>
    <w:rsid w:val="003B1819"/>
    <w:rsid w:val="003B29CD"/>
    <w:rsid w:val="003B2D81"/>
    <w:rsid w:val="003B3BF9"/>
    <w:rsid w:val="003B3D77"/>
    <w:rsid w:val="003B53D8"/>
    <w:rsid w:val="003B5714"/>
    <w:rsid w:val="003B5F4D"/>
    <w:rsid w:val="003B796F"/>
    <w:rsid w:val="003B7B52"/>
    <w:rsid w:val="003C06DA"/>
    <w:rsid w:val="003C1867"/>
    <w:rsid w:val="003C1A64"/>
    <w:rsid w:val="003C2936"/>
    <w:rsid w:val="003C2F7F"/>
    <w:rsid w:val="003C3735"/>
    <w:rsid w:val="003C37C2"/>
    <w:rsid w:val="003C4768"/>
    <w:rsid w:val="003C5081"/>
    <w:rsid w:val="003C50D8"/>
    <w:rsid w:val="003C51B6"/>
    <w:rsid w:val="003C5C72"/>
    <w:rsid w:val="003C6439"/>
    <w:rsid w:val="003C675A"/>
    <w:rsid w:val="003C7753"/>
    <w:rsid w:val="003C7927"/>
    <w:rsid w:val="003D0345"/>
    <w:rsid w:val="003D0A93"/>
    <w:rsid w:val="003D12D7"/>
    <w:rsid w:val="003D1991"/>
    <w:rsid w:val="003D1B40"/>
    <w:rsid w:val="003D1D10"/>
    <w:rsid w:val="003D1EFA"/>
    <w:rsid w:val="003D246C"/>
    <w:rsid w:val="003D2A12"/>
    <w:rsid w:val="003D3513"/>
    <w:rsid w:val="003D395F"/>
    <w:rsid w:val="003D4A8E"/>
    <w:rsid w:val="003D6C47"/>
    <w:rsid w:val="003D6F0B"/>
    <w:rsid w:val="003D71F3"/>
    <w:rsid w:val="003D75EC"/>
    <w:rsid w:val="003D7986"/>
    <w:rsid w:val="003D7D06"/>
    <w:rsid w:val="003D7FCF"/>
    <w:rsid w:val="003E0B2D"/>
    <w:rsid w:val="003E0C07"/>
    <w:rsid w:val="003E0D2C"/>
    <w:rsid w:val="003E1B49"/>
    <w:rsid w:val="003E2224"/>
    <w:rsid w:val="003E293D"/>
    <w:rsid w:val="003E32CC"/>
    <w:rsid w:val="003E33A0"/>
    <w:rsid w:val="003E38B4"/>
    <w:rsid w:val="003E3A86"/>
    <w:rsid w:val="003E5136"/>
    <w:rsid w:val="003E658E"/>
    <w:rsid w:val="003E65BD"/>
    <w:rsid w:val="003E69B9"/>
    <w:rsid w:val="003E7070"/>
    <w:rsid w:val="003E75CF"/>
    <w:rsid w:val="003E79DA"/>
    <w:rsid w:val="003E7A37"/>
    <w:rsid w:val="003F072F"/>
    <w:rsid w:val="003F0A53"/>
    <w:rsid w:val="003F0F90"/>
    <w:rsid w:val="003F1282"/>
    <w:rsid w:val="003F1508"/>
    <w:rsid w:val="003F17DE"/>
    <w:rsid w:val="003F1985"/>
    <w:rsid w:val="003F1A0E"/>
    <w:rsid w:val="003F1CE1"/>
    <w:rsid w:val="003F28F9"/>
    <w:rsid w:val="003F2DA5"/>
    <w:rsid w:val="003F2E56"/>
    <w:rsid w:val="003F3C05"/>
    <w:rsid w:val="003F491F"/>
    <w:rsid w:val="003F5079"/>
    <w:rsid w:val="003F5320"/>
    <w:rsid w:val="003F54D2"/>
    <w:rsid w:val="003F5ADC"/>
    <w:rsid w:val="003F795E"/>
    <w:rsid w:val="00400A7A"/>
    <w:rsid w:val="00400EC1"/>
    <w:rsid w:val="004012DB"/>
    <w:rsid w:val="00402A31"/>
    <w:rsid w:val="00403E2A"/>
    <w:rsid w:val="00403F04"/>
    <w:rsid w:val="004045B3"/>
    <w:rsid w:val="00404705"/>
    <w:rsid w:val="0040474E"/>
    <w:rsid w:val="004056A3"/>
    <w:rsid w:val="00405F8D"/>
    <w:rsid w:val="00406DDB"/>
    <w:rsid w:val="004072D3"/>
    <w:rsid w:val="004073F3"/>
    <w:rsid w:val="004074BA"/>
    <w:rsid w:val="004076C8"/>
    <w:rsid w:val="004079A4"/>
    <w:rsid w:val="00407A40"/>
    <w:rsid w:val="00407B96"/>
    <w:rsid w:val="00407D2B"/>
    <w:rsid w:val="004105DB"/>
    <w:rsid w:val="0041167D"/>
    <w:rsid w:val="00411DE9"/>
    <w:rsid w:val="00413026"/>
    <w:rsid w:val="00413245"/>
    <w:rsid w:val="00414253"/>
    <w:rsid w:val="004148FF"/>
    <w:rsid w:val="00414BD6"/>
    <w:rsid w:val="00415201"/>
    <w:rsid w:val="0041540E"/>
    <w:rsid w:val="00416B73"/>
    <w:rsid w:val="00416EE8"/>
    <w:rsid w:val="00417600"/>
    <w:rsid w:val="00417A99"/>
    <w:rsid w:val="00420863"/>
    <w:rsid w:val="0042110B"/>
    <w:rsid w:val="0042128B"/>
    <w:rsid w:val="00422361"/>
    <w:rsid w:val="00422E0A"/>
    <w:rsid w:val="0042335E"/>
    <w:rsid w:val="0042352E"/>
    <w:rsid w:val="00423673"/>
    <w:rsid w:val="00423FE3"/>
    <w:rsid w:val="00427022"/>
    <w:rsid w:val="00427FFA"/>
    <w:rsid w:val="004312BD"/>
    <w:rsid w:val="00431944"/>
    <w:rsid w:val="00431DD6"/>
    <w:rsid w:val="0043285A"/>
    <w:rsid w:val="00432A7E"/>
    <w:rsid w:val="00432C62"/>
    <w:rsid w:val="00432D57"/>
    <w:rsid w:val="00433397"/>
    <w:rsid w:val="004335A3"/>
    <w:rsid w:val="00433B2D"/>
    <w:rsid w:val="00433DAF"/>
    <w:rsid w:val="00433E77"/>
    <w:rsid w:val="004342A0"/>
    <w:rsid w:val="0043453D"/>
    <w:rsid w:val="00434872"/>
    <w:rsid w:val="00434F4E"/>
    <w:rsid w:val="00435452"/>
    <w:rsid w:val="004359A0"/>
    <w:rsid w:val="00436263"/>
    <w:rsid w:val="00436726"/>
    <w:rsid w:val="004372F6"/>
    <w:rsid w:val="00437606"/>
    <w:rsid w:val="00437AF6"/>
    <w:rsid w:val="004401A4"/>
    <w:rsid w:val="0044023C"/>
    <w:rsid w:val="004404BA"/>
    <w:rsid w:val="0044086E"/>
    <w:rsid w:val="00440C6D"/>
    <w:rsid w:val="00440DAC"/>
    <w:rsid w:val="0044125C"/>
    <w:rsid w:val="00441C17"/>
    <w:rsid w:val="004422CD"/>
    <w:rsid w:val="00442A68"/>
    <w:rsid w:val="004431AA"/>
    <w:rsid w:val="0044397D"/>
    <w:rsid w:val="00443FD4"/>
    <w:rsid w:val="004445A4"/>
    <w:rsid w:val="00445605"/>
    <w:rsid w:val="00445800"/>
    <w:rsid w:val="0044602B"/>
    <w:rsid w:val="0044606C"/>
    <w:rsid w:val="00446644"/>
    <w:rsid w:val="00446EAF"/>
    <w:rsid w:val="004473B4"/>
    <w:rsid w:val="00450852"/>
    <w:rsid w:val="00450BBE"/>
    <w:rsid w:val="004517A7"/>
    <w:rsid w:val="00452501"/>
    <w:rsid w:val="00454DF4"/>
    <w:rsid w:val="00454FAD"/>
    <w:rsid w:val="00455884"/>
    <w:rsid w:val="00455B22"/>
    <w:rsid w:val="00456226"/>
    <w:rsid w:val="0045683A"/>
    <w:rsid w:val="00457EE2"/>
    <w:rsid w:val="004603DF"/>
    <w:rsid w:val="00460B3E"/>
    <w:rsid w:val="004611E1"/>
    <w:rsid w:val="0046187A"/>
    <w:rsid w:val="00461BEC"/>
    <w:rsid w:val="00461C55"/>
    <w:rsid w:val="00461ECB"/>
    <w:rsid w:val="00462F48"/>
    <w:rsid w:val="00463335"/>
    <w:rsid w:val="00463B2B"/>
    <w:rsid w:val="00464A7D"/>
    <w:rsid w:val="00464E3D"/>
    <w:rsid w:val="00464F9A"/>
    <w:rsid w:val="00465074"/>
    <w:rsid w:val="00465BF2"/>
    <w:rsid w:val="00465E11"/>
    <w:rsid w:val="00465F0B"/>
    <w:rsid w:val="00466DA4"/>
    <w:rsid w:val="004672D9"/>
    <w:rsid w:val="0046775E"/>
    <w:rsid w:val="0046778F"/>
    <w:rsid w:val="00470D35"/>
    <w:rsid w:val="00471B2D"/>
    <w:rsid w:val="00472250"/>
    <w:rsid w:val="004729B1"/>
    <w:rsid w:val="00473355"/>
    <w:rsid w:val="00474729"/>
    <w:rsid w:val="00474DF5"/>
    <w:rsid w:val="00475ACA"/>
    <w:rsid w:val="00476B1E"/>
    <w:rsid w:val="00477349"/>
    <w:rsid w:val="00477AFF"/>
    <w:rsid w:val="004828F1"/>
    <w:rsid w:val="00482B06"/>
    <w:rsid w:val="00482C99"/>
    <w:rsid w:val="0048385F"/>
    <w:rsid w:val="00483A68"/>
    <w:rsid w:val="00483CF6"/>
    <w:rsid w:val="0048493E"/>
    <w:rsid w:val="004852CF"/>
    <w:rsid w:val="0048547C"/>
    <w:rsid w:val="004854C9"/>
    <w:rsid w:val="00486E77"/>
    <w:rsid w:val="00487896"/>
    <w:rsid w:val="004904AE"/>
    <w:rsid w:val="00490604"/>
    <w:rsid w:val="004907E1"/>
    <w:rsid w:val="0049139C"/>
    <w:rsid w:val="004913D6"/>
    <w:rsid w:val="00491A6E"/>
    <w:rsid w:val="00491BF7"/>
    <w:rsid w:val="00491FA8"/>
    <w:rsid w:val="004928E2"/>
    <w:rsid w:val="00492A05"/>
    <w:rsid w:val="00492E7D"/>
    <w:rsid w:val="004939E7"/>
    <w:rsid w:val="0049519B"/>
    <w:rsid w:val="00495637"/>
    <w:rsid w:val="0049580B"/>
    <w:rsid w:val="00495E5F"/>
    <w:rsid w:val="00495E6C"/>
    <w:rsid w:val="00496D08"/>
    <w:rsid w:val="00496D59"/>
    <w:rsid w:val="004976A7"/>
    <w:rsid w:val="00497852"/>
    <w:rsid w:val="00497A03"/>
    <w:rsid w:val="00497DF8"/>
    <w:rsid w:val="004A038E"/>
    <w:rsid w:val="004A187C"/>
    <w:rsid w:val="004A204A"/>
    <w:rsid w:val="004A282A"/>
    <w:rsid w:val="004A28E2"/>
    <w:rsid w:val="004A38DE"/>
    <w:rsid w:val="004A4273"/>
    <w:rsid w:val="004A454B"/>
    <w:rsid w:val="004A6A25"/>
    <w:rsid w:val="004A6F6E"/>
    <w:rsid w:val="004A7B1E"/>
    <w:rsid w:val="004A7F15"/>
    <w:rsid w:val="004B0B75"/>
    <w:rsid w:val="004B0F26"/>
    <w:rsid w:val="004B13D2"/>
    <w:rsid w:val="004B1F23"/>
    <w:rsid w:val="004B23C3"/>
    <w:rsid w:val="004B36F6"/>
    <w:rsid w:val="004B3753"/>
    <w:rsid w:val="004B3A61"/>
    <w:rsid w:val="004B4139"/>
    <w:rsid w:val="004B4356"/>
    <w:rsid w:val="004B50D1"/>
    <w:rsid w:val="004B541B"/>
    <w:rsid w:val="004B55C6"/>
    <w:rsid w:val="004B5904"/>
    <w:rsid w:val="004B6441"/>
    <w:rsid w:val="004B64C5"/>
    <w:rsid w:val="004B64D8"/>
    <w:rsid w:val="004B6F0E"/>
    <w:rsid w:val="004B7689"/>
    <w:rsid w:val="004C01F2"/>
    <w:rsid w:val="004C0D02"/>
    <w:rsid w:val="004C149D"/>
    <w:rsid w:val="004C1A8E"/>
    <w:rsid w:val="004C226E"/>
    <w:rsid w:val="004C2D36"/>
    <w:rsid w:val="004C321F"/>
    <w:rsid w:val="004C3A20"/>
    <w:rsid w:val="004C6A32"/>
    <w:rsid w:val="004C6DCA"/>
    <w:rsid w:val="004C72C7"/>
    <w:rsid w:val="004C7862"/>
    <w:rsid w:val="004C7A22"/>
    <w:rsid w:val="004D0378"/>
    <w:rsid w:val="004D071C"/>
    <w:rsid w:val="004D13F0"/>
    <w:rsid w:val="004D3AF6"/>
    <w:rsid w:val="004D3F87"/>
    <w:rsid w:val="004D40A3"/>
    <w:rsid w:val="004D4218"/>
    <w:rsid w:val="004D48DE"/>
    <w:rsid w:val="004D4BFB"/>
    <w:rsid w:val="004D52BF"/>
    <w:rsid w:val="004D5664"/>
    <w:rsid w:val="004D6385"/>
    <w:rsid w:val="004D67CB"/>
    <w:rsid w:val="004D71A9"/>
    <w:rsid w:val="004D7287"/>
    <w:rsid w:val="004D7487"/>
    <w:rsid w:val="004D7FA8"/>
    <w:rsid w:val="004E0D00"/>
    <w:rsid w:val="004E11EE"/>
    <w:rsid w:val="004E1BA2"/>
    <w:rsid w:val="004E1D25"/>
    <w:rsid w:val="004E269C"/>
    <w:rsid w:val="004E2BE0"/>
    <w:rsid w:val="004E373A"/>
    <w:rsid w:val="004E49C5"/>
    <w:rsid w:val="004E4CC0"/>
    <w:rsid w:val="004E5AFE"/>
    <w:rsid w:val="004E5B05"/>
    <w:rsid w:val="004E5CB3"/>
    <w:rsid w:val="004E6967"/>
    <w:rsid w:val="004E7064"/>
    <w:rsid w:val="004E78C8"/>
    <w:rsid w:val="004F1F5B"/>
    <w:rsid w:val="004F2825"/>
    <w:rsid w:val="004F2BF9"/>
    <w:rsid w:val="004F37F0"/>
    <w:rsid w:val="004F3B49"/>
    <w:rsid w:val="004F4207"/>
    <w:rsid w:val="004F4B02"/>
    <w:rsid w:val="004F4FB8"/>
    <w:rsid w:val="004F5347"/>
    <w:rsid w:val="004F5D10"/>
    <w:rsid w:val="004F5E4B"/>
    <w:rsid w:val="004F6043"/>
    <w:rsid w:val="004F6757"/>
    <w:rsid w:val="004F692F"/>
    <w:rsid w:val="004F7081"/>
    <w:rsid w:val="004F7290"/>
    <w:rsid w:val="004F76AF"/>
    <w:rsid w:val="004F7E8A"/>
    <w:rsid w:val="004F7ED0"/>
    <w:rsid w:val="005003DF"/>
    <w:rsid w:val="005007E2"/>
    <w:rsid w:val="00501D13"/>
    <w:rsid w:val="00501E88"/>
    <w:rsid w:val="00502A3E"/>
    <w:rsid w:val="00503640"/>
    <w:rsid w:val="00503E5C"/>
    <w:rsid w:val="00504C8A"/>
    <w:rsid w:val="00505386"/>
    <w:rsid w:val="005068E4"/>
    <w:rsid w:val="00506CAE"/>
    <w:rsid w:val="00507514"/>
    <w:rsid w:val="00507B00"/>
    <w:rsid w:val="00507B9C"/>
    <w:rsid w:val="00510ACD"/>
    <w:rsid w:val="00511476"/>
    <w:rsid w:val="0051215D"/>
    <w:rsid w:val="00512F02"/>
    <w:rsid w:val="00513040"/>
    <w:rsid w:val="005152FC"/>
    <w:rsid w:val="00515953"/>
    <w:rsid w:val="005167E8"/>
    <w:rsid w:val="005175E8"/>
    <w:rsid w:val="00517B05"/>
    <w:rsid w:val="00521297"/>
    <w:rsid w:val="00524D75"/>
    <w:rsid w:val="005250F6"/>
    <w:rsid w:val="00525799"/>
    <w:rsid w:val="00525E31"/>
    <w:rsid w:val="005262F0"/>
    <w:rsid w:val="00526714"/>
    <w:rsid w:val="00526D84"/>
    <w:rsid w:val="00526E66"/>
    <w:rsid w:val="0052707B"/>
    <w:rsid w:val="0052780F"/>
    <w:rsid w:val="0052782A"/>
    <w:rsid w:val="00531558"/>
    <w:rsid w:val="00531B46"/>
    <w:rsid w:val="00532584"/>
    <w:rsid w:val="005327B6"/>
    <w:rsid w:val="00532855"/>
    <w:rsid w:val="00532FEC"/>
    <w:rsid w:val="005331CE"/>
    <w:rsid w:val="005335E6"/>
    <w:rsid w:val="005340DE"/>
    <w:rsid w:val="005342A2"/>
    <w:rsid w:val="00534C5F"/>
    <w:rsid w:val="0053509D"/>
    <w:rsid w:val="00535E13"/>
    <w:rsid w:val="0053650A"/>
    <w:rsid w:val="00536833"/>
    <w:rsid w:val="00537260"/>
    <w:rsid w:val="00537F2E"/>
    <w:rsid w:val="0054008E"/>
    <w:rsid w:val="00540529"/>
    <w:rsid w:val="00540AD9"/>
    <w:rsid w:val="00541355"/>
    <w:rsid w:val="00541B5E"/>
    <w:rsid w:val="0054310D"/>
    <w:rsid w:val="00543144"/>
    <w:rsid w:val="00543899"/>
    <w:rsid w:val="00543E5A"/>
    <w:rsid w:val="00544F7A"/>
    <w:rsid w:val="00545421"/>
    <w:rsid w:val="00547B0A"/>
    <w:rsid w:val="005502BC"/>
    <w:rsid w:val="00550CA9"/>
    <w:rsid w:val="00551763"/>
    <w:rsid w:val="00551FCA"/>
    <w:rsid w:val="00553913"/>
    <w:rsid w:val="00554B68"/>
    <w:rsid w:val="00554F48"/>
    <w:rsid w:val="00554F7D"/>
    <w:rsid w:val="005553B8"/>
    <w:rsid w:val="00555C92"/>
    <w:rsid w:val="005567C9"/>
    <w:rsid w:val="005576F7"/>
    <w:rsid w:val="00557E16"/>
    <w:rsid w:val="0056060B"/>
    <w:rsid w:val="00560716"/>
    <w:rsid w:val="005607A9"/>
    <w:rsid w:val="00561722"/>
    <w:rsid w:val="0056188B"/>
    <w:rsid w:val="00561D07"/>
    <w:rsid w:val="00561D36"/>
    <w:rsid w:val="0056269B"/>
    <w:rsid w:val="00562C3D"/>
    <w:rsid w:val="0056379F"/>
    <w:rsid w:val="00563F76"/>
    <w:rsid w:val="005641BA"/>
    <w:rsid w:val="005648D7"/>
    <w:rsid w:val="00565866"/>
    <w:rsid w:val="00566163"/>
    <w:rsid w:val="0056774B"/>
    <w:rsid w:val="00567FC0"/>
    <w:rsid w:val="00570586"/>
    <w:rsid w:val="005706DD"/>
    <w:rsid w:val="00570B23"/>
    <w:rsid w:val="0057194A"/>
    <w:rsid w:val="005719CC"/>
    <w:rsid w:val="00571CF8"/>
    <w:rsid w:val="00572669"/>
    <w:rsid w:val="0057391B"/>
    <w:rsid w:val="00573A64"/>
    <w:rsid w:val="00574170"/>
    <w:rsid w:val="00574420"/>
    <w:rsid w:val="00575814"/>
    <w:rsid w:val="00575ED0"/>
    <w:rsid w:val="00576D83"/>
    <w:rsid w:val="0058025A"/>
    <w:rsid w:val="0058081E"/>
    <w:rsid w:val="005816AC"/>
    <w:rsid w:val="00581EC4"/>
    <w:rsid w:val="0058268D"/>
    <w:rsid w:val="00582A1A"/>
    <w:rsid w:val="0058368D"/>
    <w:rsid w:val="00583984"/>
    <w:rsid w:val="00583DB0"/>
    <w:rsid w:val="00583FF2"/>
    <w:rsid w:val="00585287"/>
    <w:rsid w:val="00586B81"/>
    <w:rsid w:val="00586D95"/>
    <w:rsid w:val="005873E4"/>
    <w:rsid w:val="005877E7"/>
    <w:rsid w:val="00587877"/>
    <w:rsid w:val="00587F45"/>
    <w:rsid w:val="005930AF"/>
    <w:rsid w:val="0059323C"/>
    <w:rsid w:val="0059391C"/>
    <w:rsid w:val="005942B8"/>
    <w:rsid w:val="005942D5"/>
    <w:rsid w:val="0059466A"/>
    <w:rsid w:val="00594752"/>
    <w:rsid w:val="0059533D"/>
    <w:rsid w:val="0059592B"/>
    <w:rsid w:val="00596AB4"/>
    <w:rsid w:val="00596DA7"/>
    <w:rsid w:val="00597E5D"/>
    <w:rsid w:val="005A049E"/>
    <w:rsid w:val="005A085B"/>
    <w:rsid w:val="005A2608"/>
    <w:rsid w:val="005A29EA"/>
    <w:rsid w:val="005A2E56"/>
    <w:rsid w:val="005A2EEF"/>
    <w:rsid w:val="005A329D"/>
    <w:rsid w:val="005A3354"/>
    <w:rsid w:val="005A4A69"/>
    <w:rsid w:val="005A5278"/>
    <w:rsid w:val="005A5467"/>
    <w:rsid w:val="005A5966"/>
    <w:rsid w:val="005A5CD5"/>
    <w:rsid w:val="005A7A96"/>
    <w:rsid w:val="005A7AA5"/>
    <w:rsid w:val="005B0567"/>
    <w:rsid w:val="005B0F9F"/>
    <w:rsid w:val="005B1B59"/>
    <w:rsid w:val="005B3367"/>
    <w:rsid w:val="005B398A"/>
    <w:rsid w:val="005B3CC6"/>
    <w:rsid w:val="005B4429"/>
    <w:rsid w:val="005B448B"/>
    <w:rsid w:val="005B4897"/>
    <w:rsid w:val="005B489C"/>
    <w:rsid w:val="005B5E34"/>
    <w:rsid w:val="005B5F79"/>
    <w:rsid w:val="005B6A10"/>
    <w:rsid w:val="005B6C6D"/>
    <w:rsid w:val="005B6F9F"/>
    <w:rsid w:val="005B73AA"/>
    <w:rsid w:val="005B792A"/>
    <w:rsid w:val="005C074B"/>
    <w:rsid w:val="005C1017"/>
    <w:rsid w:val="005C154E"/>
    <w:rsid w:val="005C1723"/>
    <w:rsid w:val="005C1B70"/>
    <w:rsid w:val="005C222C"/>
    <w:rsid w:val="005C2BB3"/>
    <w:rsid w:val="005C30D3"/>
    <w:rsid w:val="005C3607"/>
    <w:rsid w:val="005C3FD8"/>
    <w:rsid w:val="005C3FF1"/>
    <w:rsid w:val="005C4DCC"/>
    <w:rsid w:val="005C5F4D"/>
    <w:rsid w:val="005C6EA5"/>
    <w:rsid w:val="005C7809"/>
    <w:rsid w:val="005C78AF"/>
    <w:rsid w:val="005C7B27"/>
    <w:rsid w:val="005C7DA8"/>
    <w:rsid w:val="005D037A"/>
    <w:rsid w:val="005D12F9"/>
    <w:rsid w:val="005D1853"/>
    <w:rsid w:val="005D1A0F"/>
    <w:rsid w:val="005D2787"/>
    <w:rsid w:val="005D3511"/>
    <w:rsid w:val="005D47EC"/>
    <w:rsid w:val="005D4EF1"/>
    <w:rsid w:val="005D6217"/>
    <w:rsid w:val="005D636E"/>
    <w:rsid w:val="005D717C"/>
    <w:rsid w:val="005D7204"/>
    <w:rsid w:val="005D7C23"/>
    <w:rsid w:val="005E04D0"/>
    <w:rsid w:val="005E05A6"/>
    <w:rsid w:val="005E0962"/>
    <w:rsid w:val="005E0F8D"/>
    <w:rsid w:val="005E19B4"/>
    <w:rsid w:val="005E1EE7"/>
    <w:rsid w:val="005E2803"/>
    <w:rsid w:val="005E2BEB"/>
    <w:rsid w:val="005E3A2A"/>
    <w:rsid w:val="005E3C68"/>
    <w:rsid w:val="005E3E2E"/>
    <w:rsid w:val="005E49D2"/>
    <w:rsid w:val="005E534E"/>
    <w:rsid w:val="005E597B"/>
    <w:rsid w:val="005E59A8"/>
    <w:rsid w:val="005E5A68"/>
    <w:rsid w:val="005E5CBA"/>
    <w:rsid w:val="005E6099"/>
    <w:rsid w:val="005E684F"/>
    <w:rsid w:val="005E6BCB"/>
    <w:rsid w:val="005E6BDC"/>
    <w:rsid w:val="005E7948"/>
    <w:rsid w:val="005E7A84"/>
    <w:rsid w:val="005E7E5C"/>
    <w:rsid w:val="005F0059"/>
    <w:rsid w:val="005F03E6"/>
    <w:rsid w:val="005F15A5"/>
    <w:rsid w:val="005F1DA6"/>
    <w:rsid w:val="005F211C"/>
    <w:rsid w:val="005F2549"/>
    <w:rsid w:val="005F2818"/>
    <w:rsid w:val="005F2A90"/>
    <w:rsid w:val="005F30B5"/>
    <w:rsid w:val="005F3CB3"/>
    <w:rsid w:val="005F4370"/>
    <w:rsid w:val="005F4549"/>
    <w:rsid w:val="005F4FE7"/>
    <w:rsid w:val="005F5101"/>
    <w:rsid w:val="005F76A4"/>
    <w:rsid w:val="005F7971"/>
    <w:rsid w:val="0060086A"/>
    <w:rsid w:val="00600EAD"/>
    <w:rsid w:val="006010B2"/>
    <w:rsid w:val="00602183"/>
    <w:rsid w:val="00603617"/>
    <w:rsid w:val="0060381F"/>
    <w:rsid w:val="006046B6"/>
    <w:rsid w:val="006049FD"/>
    <w:rsid w:val="006059EE"/>
    <w:rsid w:val="00607638"/>
    <w:rsid w:val="00607C85"/>
    <w:rsid w:val="006102C5"/>
    <w:rsid w:val="006105CF"/>
    <w:rsid w:val="0061093F"/>
    <w:rsid w:val="00610E2B"/>
    <w:rsid w:val="00611E72"/>
    <w:rsid w:val="00612119"/>
    <w:rsid w:val="006123A2"/>
    <w:rsid w:val="00612D69"/>
    <w:rsid w:val="00613713"/>
    <w:rsid w:val="00614FB7"/>
    <w:rsid w:val="006173AF"/>
    <w:rsid w:val="006178BC"/>
    <w:rsid w:val="006205C1"/>
    <w:rsid w:val="00620BAE"/>
    <w:rsid w:val="00620D81"/>
    <w:rsid w:val="0062180E"/>
    <w:rsid w:val="00622174"/>
    <w:rsid w:val="00622418"/>
    <w:rsid w:val="0062340D"/>
    <w:rsid w:val="00623E00"/>
    <w:rsid w:val="00623FDF"/>
    <w:rsid w:val="0062416F"/>
    <w:rsid w:val="006244AB"/>
    <w:rsid w:val="006246D8"/>
    <w:rsid w:val="00624DF0"/>
    <w:rsid w:val="00624E83"/>
    <w:rsid w:val="006252F1"/>
    <w:rsid w:val="006258FC"/>
    <w:rsid w:val="0062606D"/>
    <w:rsid w:val="006261CB"/>
    <w:rsid w:val="0062624E"/>
    <w:rsid w:val="00626B3C"/>
    <w:rsid w:val="00630522"/>
    <w:rsid w:val="00630AAF"/>
    <w:rsid w:val="006312FE"/>
    <w:rsid w:val="006317B0"/>
    <w:rsid w:val="0063190E"/>
    <w:rsid w:val="006319B2"/>
    <w:rsid w:val="00631DFB"/>
    <w:rsid w:val="00631E58"/>
    <w:rsid w:val="00632365"/>
    <w:rsid w:val="0063253F"/>
    <w:rsid w:val="006326A8"/>
    <w:rsid w:val="00632CFF"/>
    <w:rsid w:val="00632F2F"/>
    <w:rsid w:val="00633CAB"/>
    <w:rsid w:val="006344A4"/>
    <w:rsid w:val="00634B97"/>
    <w:rsid w:val="0063533C"/>
    <w:rsid w:val="006353BB"/>
    <w:rsid w:val="00635564"/>
    <w:rsid w:val="00635FF3"/>
    <w:rsid w:val="00636784"/>
    <w:rsid w:val="006367ED"/>
    <w:rsid w:val="00637A6C"/>
    <w:rsid w:val="00637C32"/>
    <w:rsid w:val="006404BF"/>
    <w:rsid w:val="006411FD"/>
    <w:rsid w:val="006412DC"/>
    <w:rsid w:val="006415CF"/>
    <w:rsid w:val="00641F5E"/>
    <w:rsid w:val="006430E1"/>
    <w:rsid w:val="00643C51"/>
    <w:rsid w:val="00643CD3"/>
    <w:rsid w:val="006445E9"/>
    <w:rsid w:val="00644C82"/>
    <w:rsid w:val="00644DBE"/>
    <w:rsid w:val="0064505F"/>
    <w:rsid w:val="00647987"/>
    <w:rsid w:val="006508C4"/>
    <w:rsid w:val="00650B89"/>
    <w:rsid w:val="006523AD"/>
    <w:rsid w:val="006523C6"/>
    <w:rsid w:val="0065251A"/>
    <w:rsid w:val="00652BD8"/>
    <w:rsid w:val="006538EB"/>
    <w:rsid w:val="00653C13"/>
    <w:rsid w:val="00653CDA"/>
    <w:rsid w:val="0065418F"/>
    <w:rsid w:val="006551F3"/>
    <w:rsid w:val="00655E22"/>
    <w:rsid w:val="006567EA"/>
    <w:rsid w:val="00656812"/>
    <w:rsid w:val="0065711D"/>
    <w:rsid w:val="0065744C"/>
    <w:rsid w:val="00657AE9"/>
    <w:rsid w:val="006606E2"/>
    <w:rsid w:val="00660D10"/>
    <w:rsid w:val="00661EC0"/>
    <w:rsid w:val="006621E1"/>
    <w:rsid w:val="00663F7D"/>
    <w:rsid w:val="00664C83"/>
    <w:rsid w:val="006653A3"/>
    <w:rsid w:val="00665702"/>
    <w:rsid w:val="006677A5"/>
    <w:rsid w:val="00667EAC"/>
    <w:rsid w:val="0067008C"/>
    <w:rsid w:val="006713F8"/>
    <w:rsid w:val="0067184D"/>
    <w:rsid w:val="006723F0"/>
    <w:rsid w:val="0067240C"/>
    <w:rsid w:val="006724D8"/>
    <w:rsid w:val="0067269C"/>
    <w:rsid w:val="006731A0"/>
    <w:rsid w:val="00673963"/>
    <w:rsid w:val="00673CFF"/>
    <w:rsid w:val="00674355"/>
    <w:rsid w:val="006744D9"/>
    <w:rsid w:val="00675515"/>
    <w:rsid w:val="006758D1"/>
    <w:rsid w:val="00675A67"/>
    <w:rsid w:val="00675D8C"/>
    <w:rsid w:val="00675DE3"/>
    <w:rsid w:val="00675FE2"/>
    <w:rsid w:val="0067642D"/>
    <w:rsid w:val="006771D9"/>
    <w:rsid w:val="00677A15"/>
    <w:rsid w:val="00677AC2"/>
    <w:rsid w:val="00677DA1"/>
    <w:rsid w:val="00681175"/>
    <w:rsid w:val="00682203"/>
    <w:rsid w:val="00683F7E"/>
    <w:rsid w:val="00684156"/>
    <w:rsid w:val="006843AF"/>
    <w:rsid w:val="00685145"/>
    <w:rsid w:val="00685CE2"/>
    <w:rsid w:val="00686AB1"/>
    <w:rsid w:val="00686C73"/>
    <w:rsid w:val="0069074E"/>
    <w:rsid w:val="00690ECD"/>
    <w:rsid w:val="006913F1"/>
    <w:rsid w:val="0069257A"/>
    <w:rsid w:val="00692D33"/>
    <w:rsid w:val="00693226"/>
    <w:rsid w:val="00693368"/>
    <w:rsid w:val="00693486"/>
    <w:rsid w:val="006934D1"/>
    <w:rsid w:val="006937AF"/>
    <w:rsid w:val="006937D5"/>
    <w:rsid w:val="0069399C"/>
    <w:rsid w:val="00693B21"/>
    <w:rsid w:val="006947F0"/>
    <w:rsid w:val="00694B07"/>
    <w:rsid w:val="00694BAD"/>
    <w:rsid w:val="00694E4D"/>
    <w:rsid w:val="00695D19"/>
    <w:rsid w:val="00695ED0"/>
    <w:rsid w:val="0069616B"/>
    <w:rsid w:val="00696D35"/>
    <w:rsid w:val="006970C9"/>
    <w:rsid w:val="00697217"/>
    <w:rsid w:val="0069757C"/>
    <w:rsid w:val="006A08EC"/>
    <w:rsid w:val="006A0FC3"/>
    <w:rsid w:val="006A16FF"/>
    <w:rsid w:val="006A2312"/>
    <w:rsid w:val="006A2474"/>
    <w:rsid w:val="006A28BE"/>
    <w:rsid w:val="006A2ED4"/>
    <w:rsid w:val="006A30E2"/>
    <w:rsid w:val="006A3D8B"/>
    <w:rsid w:val="006A41F1"/>
    <w:rsid w:val="006A4FF4"/>
    <w:rsid w:val="006A50B5"/>
    <w:rsid w:val="006A549A"/>
    <w:rsid w:val="006A5CC9"/>
    <w:rsid w:val="006A64C8"/>
    <w:rsid w:val="006A6823"/>
    <w:rsid w:val="006B0041"/>
    <w:rsid w:val="006B03AA"/>
    <w:rsid w:val="006B083A"/>
    <w:rsid w:val="006B08DE"/>
    <w:rsid w:val="006B0935"/>
    <w:rsid w:val="006B1C59"/>
    <w:rsid w:val="006B359E"/>
    <w:rsid w:val="006B3E16"/>
    <w:rsid w:val="006B4331"/>
    <w:rsid w:val="006B49F6"/>
    <w:rsid w:val="006B4C1E"/>
    <w:rsid w:val="006B5DD2"/>
    <w:rsid w:val="006B6519"/>
    <w:rsid w:val="006B6D6C"/>
    <w:rsid w:val="006B6DAA"/>
    <w:rsid w:val="006B7132"/>
    <w:rsid w:val="006B7D70"/>
    <w:rsid w:val="006C0A93"/>
    <w:rsid w:val="006C18B7"/>
    <w:rsid w:val="006C19D1"/>
    <w:rsid w:val="006C2C1C"/>
    <w:rsid w:val="006C3896"/>
    <w:rsid w:val="006C38E6"/>
    <w:rsid w:val="006C3CA0"/>
    <w:rsid w:val="006C3E1E"/>
    <w:rsid w:val="006C3F36"/>
    <w:rsid w:val="006C43D4"/>
    <w:rsid w:val="006C44DF"/>
    <w:rsid w:val="006C5527"/>
    <w:rsid w:val="006C55CB"/>
    <w:rsid w:val="006C5A1D"/>
    <w:rsid w:val="006C5A6E"/>
    <w:rsid w:val="006C7168"/>
    <w:rsid w:val="006C757A"/>
    <w:rsid w:val="006C7C5A"/>
    <w:rsid w:val="006C7E1D"/>
    <w:rsid w:val="006D0CF1"/>
    <w:rsid w:val="006D13F6"/>
    <w:rsid w:val="006D143A"/>
    <w:rsid w:val="006D2020"/>
    <w:rsid w:val="006D3D0F"/>
    <w:rsid w:val="006D4A70"/>
    <w:rsid w:val="006D54CC"/>
    <w:rsid w:val="006D6863"/>
    <w:rsid w:val="006D6997"/>
    <w:rsid w:val="006D7134"/>
    <w:rsid w:val="006D7813"/>
    <w:rsid w:val="006D79D0"/>
    <w:rsid w:val="006D7BD9"/>
    <w:rsid w:val="006E014F"/>
    <w:rsid w:val="006E0743"/>
    <w:rsid w:val="006E10B4"/>
    <w:rsid w:val="006E1584"/>
    <w:rsid w:val="006E1AD6"/>
    <w:rsid w:val="006E1B28"/>
    <w:rsid w:val="006E1B84"/>
    <w:rsid w:val="006E249F"/>
    <w:rsid w:val="006E2556"/>
    <w:rsid w:val="006E27C5"/>
    <w:rsid w:val="006E30BB"/>
    <w:rsid w:val="006E3112"/>
    <w:rsid w:val="006E39E6"/>
    <w:rsid w:val="006E4356"/>
    <w:rsid w:val="006E46D0"/>
    <w:rsid w:val="006E6FE5"/>
    <w:rsid w:val="006E74CC"/>
    <w:rsid w:val="006E758B"/>
    <w:rsid w:val="006E778F"/>
    <w:rsid w:val="006E7859"/>
    <w:rsid w:val="006F04FD"/>
    <w:rsid w:val="006F0ACE"/>
    <w:rsid w:val="006F0F8C"/>
    <w:rsid w:val="006F1410"/>
    <w:rsid w:val="006F1573"/>
    <w:rsid w:val="006F1F48"/>
    <w:rsid w:val="006F27D5"/>
    <w:rsid w:val="006F3228"/>
    <w:rsid w:val="006F3B38"/>
    <w:rsid w:val="006F43D8"/>
    <w:rsid w:val="006F4AA6"/>
    <w:rsid w:val="006F4DBC"/>
    <w:rsid w:val="006F4F21"/>
    <w:rsid w:val="006F60F7"/>
    <w:rsid w:val="006F621E"/>
    <w:rsid w:val="006F6978"/>
    <w:rsid w:val="006F6AC9"/>
    <w:rsid w:val="006F6B45"/>
    <w:rsid w:val="006F6E6E"/>
    <w:rsid w:val="006F7BA6"/>
    <w:rsid w:val="00700830"/>
    <w:rsid w:val="007014DA"/>
    <w:rsid w:val="00701674"/>
    <w:rsid w:val="00701DA0"/>
    <w:rsid w:val="00702CB0"/>
    <w:rsid w:val="00702DED"/>
    <w:rsid w:val="007040F7"/>
    <w:rsid w:val="00704120"/>
    <w:rsid w:val="007047D6"/>
    <w:rsid w:val="00704A83"/>
    <w:rsid w:val="00704ABF"/>
    <w:rsid w:val="00704B3C"/>
    <w:rsid w:val="00705161"/>
    <w:rsid w:val="0070558F"/>
    <w:rsid w:val="00705EB8"/>
    <w:rsid w:val="00706076"/>
    <w:rsid w:val="007060B2"/>
    <w:rsid w:val="00706CEE"/>
    <w:rsid w:val="007071CA"/>
    <w:rsid w:val="00707981"/>
    <w:rsid w:val="00707A97"/>
    <w:rsid w:val="007108D8"/>
    <w:rsid w:val="00710978"/>
    <w:rsid w:val="007109F2"/>
    <w:rsid w:val="007112FE"/>
    <w:rsid w:val="007113BE"/>
    <w:rsid w:val="0071157E"/>
    <w:rsid w:val="00711F11"/>
    <w:rsid w:val="00712155"/>
    <w:rsid w:val="007128F6"/>
    <w:rsid w:val="00712B7E"/>
    <w:rsid w:val="00712CBA"/>
    <w:rsid w:val="00715F13"/>
    <w:rsid w:val="00716001"/>
    <w:rsid w:val="00716BCF"/>
    <w:rsid w:val="00716FAF"/>
    <w:rsid w:val="00717421"/>
    <w:rsid w:val="00721399"/>
    <w:rsid w:val="00721432"/>
    <w:rsid w:val="0072166E"/>
    <w:rsid w:val="00721679"/>
    <w:rsid w:val="00721D85"/>
    <w:rsid w:val="007225D7"/>
    <w:rsid w:val="00723562"/>
    <w:rsid w:val="007236F8"/>
    <w:rsid w:val="0072477F"/>
    <w:rsid w:val="0072557C"/>
    <w:rsid w:val="007255B7"/>
    <w:rsid w:val="0072664F"/>
    <w:rsid w:val="00727071"/>
    <w:rsid w:val="00727242"/>
    <w:rsid w:val="00730403"/>
    <w:rsid w:val="00730FFC"/>
    <w:rsid w:val="00731BCC"/>
    <w:rsid w:val="00731D02"/>
    <w:rsid w:val="007326A5"/>
    <w:rsid w:val="0073334B"/>
    <w:rsid w:val="0073413D"/>
    <w:rsid w:val="0073419D"/>
    <w:rsid w:val="007341DB"/>
    <w:rsid w:val="00736065"/>
    <w:rsid w:val="00736157"/>
    <w:rsid w:val="0073658B"/>
    <w:rsid w:val="00737096"/>
    <w:rsid w:val="0073715A"/>
    <w:rsid w:val="00737295"/>
    <w:rsid w:val="007405EF"/>
    <w:rsid w:val="00740702"/>
    <w:rsid w:val="00741578"/>
    <w:rsid w:val="0074249E"/>
    <w:rsid w:val="00742990"/>
    <w:rsid w:val="0074320E"/>
    <w:rsid w:val="00743217"/>
    <w:rsid w:val="007444C0"/>
    <w:rsid w:val="007446C4"/>
    <w:rsid w:val="00744B8C"/>
    <w:rsid w:val="007452CF"/>
    <w:rsid w:val="00745310"/>
    <w:rsid w:val="007458E8"/>
    <w:rsid w:val="0074697D"/>
    <w:rsid w:val="00746F72"/>
    <w:rsid w:val="007477C9"/>
    <w:rsid w:val="007500E4"/>
    <w:rsid w:val="00751CF0"/>
    <w:rsid w:val="0075278D"/>
    <w:rsid w:val="00752A7D"/>
    <w:rsid w:val="00753A6B"/>
    <w:rsid w:val="00754D7D"/>
    <w:rsid w:val="00754F32"/>
    <w:rsid w:val="007550B4"/>
    <w:rsid w:val="00755314"/>
    <w:rsid w:val="007558C4"/>
    <w:rsid w:val="00755C3E"/>
    <w:rsid w:val="00757096"/>
    <w:rsid w:val="00757BE4"/>
    <w:rsid w:val="00757F25"/>
    <w:rsid w:val="007601B6"/>
    <w:rsid w:val="0076046E"/>
    <w:rsid w:val="00760570"/>
    <w:rsid w:val="00761C17"/>
    <w:rsid w:val="007620EB"/>
    <w:rsid w:val="0076227C"/>
    <w:rsid w:val="00762326"/>
    <w:rsid w:val="00762588"/>
    <w:rsid w:val="007628B2"/>
    <w:rsid w:val="00762CB1"/>
    <w:rsid w:val="0076433C"/>
    <w:rsid w:val="007654E5"/>
    <w:rsid w:val="00765F17"/>
    <w:rsid w:val="0076609A"/>
    <w:rsid w:val="007663F2"/>
    <w:rsid w:val="007668C0"/>
    <w:rsid w:val="00767962"/>
    <w:rsid w:val="00770C66"/>
    <w:rsid w:val="007719DB"/>
    <w:rsid w:val="00772DCC"/>
    <w:rsid w:val="00772F91"/>
    <w:rsid w:val="007731FB"/>
    <w:rsid w:val="007732FC"/>
    <w:rsid w:val="0077333A"/>
    <w:rsid w:val="00773968"/>
    <w:rsid w:val="007739A8"/>
    <w:rsid w:val="00773AFC"/>
    <w:rsid w:val="00773F65"/>
    <w:rsid w:val="0077434B"/>
    <w:rsid w:val="007747B8"/>
    <w:rsid w:val="007754EA"/>
    <w:rsid w:val="00775734"/>
    <w:rsid w:val="00775BED"/>
    <w:rsid w:val="007771C3"/>
    <w:rsid w:val="0077781E"/>
    <w:rsid w:val="00777E61"/>
    <w:rsid w:val="007810F2"/>
    <w:rsid w:val="007813A4"/>
    <w:rsid w:val="00781440"/>
    <w:rsid w:val="007823BD"/>
    <w:rsid w:val="00782785"/>
    <w:rsid w:val="00783359"/>
    <w:rsid w:val="00783498"/>
    <w:rsid w:val="007846F4"/>
    <w:rsid w:val="007850F8"/>
    <w:rsid w:val="00786A8F"/>
    <w:rsid w:val="00787DCB"/>
    <w:rsid w:val="00790FEC"/>
    <w:rsid w:val="00791761"/>
    <w:rsid w:val="00791CC0"/>
    <w:rsid w:val="007933AC"/>
    <w:rsid w:val="00793759"/>
    <w:rsid w:val="007939DE"/>
    <w:rsid w:val="007942B9"/>
    <w:rsid w:val="0079485D"/>
    <w:rsid w:val="007951C7"/>
    <w:rsid w:val="00795625"/>
    <w:rsid w:val="00795908"/>
    <w:rsid w:val="007967AD"/>
    <w:rsid w:val="00796FBD"/>
    <w:rsid w:val="0079721E"/>
    <w:rsid w:val="0079758B"/>
    <w:rsid w:val="007A065B"/>
    <w:rsid w:val="007A0BD1"/>
    <w:rsid w:val="007A0FA2"/>
    <w:rsid w:val="007A2462"/>
    <w:rsid w:val="007A323B"/>
    <w:rsid w:val="007A34E8"/>
    <w:rsid w:val="007A393B"/>
    <w:rsid w:val="007A4535"/>
    <w:rsid w:val="007A5B0B"/>
    <w:rsid w:val="007A5D76"/>
    <w:rsid w:val="007A5E77"/>
    <w:rsid w:val="007A66A5"/>
    <w:rsid w:val="007A670C"/>
    <w:rsid w:val="007A6809"/>
    <w:rsid w:val="007A72FB"/>
    <w:rsid w:val="007B0C6C"/>
    <w:rsid w:val="007B0D5D"/>
    <w:rsid w:val="007B0DE3"/>
    <w:rsid w:val="007B27D2"/>
    <w:rsid w:val="007B2EAC"/>
    <w:rsid w:val="007B4EF8"/>
    <w:rsid w:val="007B5195"/>
    <w:rsid w:val="007B58FA"/>
    <w:rsid w:val="007B5B56"/>
    <w:rsid w:val="007B63B7"/>
    <w:rsid w:val="007B6449"/>
    <w:rsid w:val="007B693C"/>
    <w:rsid w:val="007C01B6"/>
    <w:rsid w:val="007C06DA"/>
    <w:rsid w:val="007C1173"/>
    <w:rsid w:val="007C118E"/>
    <w:rsid w:val="007C12C9"/>
    <w:rsid w:val="007C18C2"/>
    <w:rsid w:val="007C1963"/>
    <w:rsid w:val="007C26B4"/>
    <w:rsid w:val="007C2E49"/>
    <w:rsid w:val="007C2EFF"/>
    <w:rsid w:val="007C3016"/>
    <w:rsid w:val="007C4E56"/>
    <w:rsid w:val="007C54FC"/>
    <w:rsid w:val="007C599A"/>
    <w:rsid w:val="007C5A4E"/>
    <w:rsid w:val="007C669D"/>
    <w:rsid w:val="007C6872"/>
    <w:rsid w:val="007C6E00"/>
    <w:rsid w:val="007C72A8"/>
    <w:rsid w:val="007C753F"/>
    <w:rsid w:val="007C7837"/>
    <w:rsid w:val="007D04AF"/>
    <w:rsid w:val="007D1EDF"/>
    <w:rsid w:val="007D2289"/>
    <w:rsid w:val="007D2899"/>
    <w:rsid w:val="007D2CD1"/>
    <w:rsid w:val="007D47CD"/>
    <w:rsid w:val="007D4CA9"/>
    <w:rsid w:val="007D6CE6"/>
    <w:rsid w:val="007E084C"/>
    <w:rsid w:val="007E1193"/>
    <w:rsid w:val="007E1275"/>
    <w:rsid w:val="007E1C51"/>
    <w:rsid w:val="007E211F"/>
    <w:rsid w:val="007E2178"/>
    <w:rsid w:val="007E2CC8"/>
    <w:rsid w:val="007E32D9"/>
    <w:rsid w:val="007E3565"/>
    <w:rsid w:val="007E4B1F"/>
    <w:rsid w:val="007E521D"/>
    <w:rsid w:val="007E53C2"/>
    <w:rsid w:val="007E57E8"/>
    <w:rsid w:val="007E5B8D"/>
    <w:rsid w:val="007E5EA5"/>
    <w:rsid w:val="007E61EC"/>
    <w:rsid w:val="007E67F4"/>
    <w:rsid w:val="007E74E4"/>
    <w:rsid w:val="007F0B26"/>
    <w:rsid w:val="007F0C18"/>
    <w:rsid w:val="007F1496"/>
    <w:rsid w:val="007F26CE"/>
    <w:rsid w:val="007F275A"/>
    <w:rsid w:val="007F4A74"/>
    <w:rsid w:val="007F4C47"/>
    <w:rsid w:val="007F51CC"/>
    <w:rsid w:val="007F5F94"/>
    <w:rsid w:val="007F720D"/>
    <w:rsid w:val="007F7987"/>
    <w:rsid w:val="007F7A0E"/>
    <w:rsid w:val="008000EE"/>
    <w:rsid w:val="00800130"/>
    <w:rsid w:val="0080055A"/>
    <w:rsid w:val="00800A35"/>
    <w:rsid w:val="00800F9C"/>
    <w:rsid w:val="008017C0"/>
    <w:rsid w:val="00801901"/>
    <w:rsid w:val="00801D20"/>
    <w:rsid w:val="00801D46"/>
    <w:rsid w:val="0080377A"/>
    <w:rsid w:val="00803BB2"/>
    <w:rsid w:val="00803EC5"/>
    <w:rsid w:val="00804830"/>
    <w:rsid w:val="00804E59"/>
    <w:rsid w:val="00805702"/>
    <w:rsid w:val="00805A78"/>
    <w:rsid w:val="00805E42"/>
    <w:rsid w:val="00805E92"/>
    <w:rsid w:val="0080631C"/>
    <w:rsid w:val="00806522"/>
    <w:rsid w:val="00806D18"/>
    <w:rsid w:val="008070E2"/>
    <w:rsid w:val="0080737A"/>
    <w:rsid w:val="008077EA"/>
    <w:rsid w:val="00807B5C"/>
    <w:rsid w:val="00810344"/>
    <w:rsid w:val="0081094E"/>
    <w:rsid w:val="00810C53"/>
    <w:rsid w:val="0081173A"/>
    <w:rsid w:val="008125C7"/>
    <w:rsid w:val="0081279F"/>
    <w:rsid w:val="00812904"/>
    <w:rsid w:val="0081373E"/>
    <w:rsid w:val="00813F05"/>
    <w:rsid w:val="008144AC"/>
    <w:rsid w:val="008144EA"/>
    <w:rsid w:val="008144FA"/>
    <w:rsid w:val="00814834"/>
    <w:rsid w:val="00814986"/>
    <w:rsid w:val="008152C9"/>
    <w:rsid w:val="00815410"/>
    <w:rsid w:val="008167D2"/>
    <w:rsid w:val="008167F9"/>
    <w:rsid w:val="008169E8"/>
    <w:rsid w:val="00816A67"/>
    <w:rsid w:val="00817528"/>
    <w:rsid w:val="00817E33"/>
    <w:rsid w:val="008209AC"/>
    <w:rsid w:val="008209B8"/>
    <w:rsid w:val="00821285"/>
    <w:rsid w:val="00822528"/>
    <w:rsid w:val="0082276A"/>
    <w:rsid w:val="008238B8"/>
    <w:rsid w:val="0082472F"/>
    <w:rsid w:val="00824D2A"/>
    <w:rsid w:val="00824DFD"/>
    <w:rsid w:val="00825B8F"/>
    <w:rsid w:val="00825E0F"/>
    <w:rsid w:val="008261E8"/>
    <w:rsid w:val="00827F68"/>
    <w:rsid w:val="008310D9"/>
    <w:rsid w:val="008318A3"/>
    <w:rsid w:val="0083247C"/>
    <w:rsid w:val="00832CB5"/>
    <w:rsid w:val="00832EB9"/>
    <w:rsid w:val="008343EF"/>
    <w:rsid w:val="00834639"/>
    <w:rsid w:val="00834899"/>
    <w:rsid w:val="00834D64"/>
    <w:rsid w:val="00835AEF"/>
    <w:rsid w:val="00835FD5"/>
    <w:rsid w:val="00836C03"/>
    <w:rsid w:val="00837AA5"/>
    <w:rsid w:val="0084009E"/>
    <w:rsid w:val="0084078A"/>
    <w:rsid w:val="00841439"/>
    <w:rsid w:val="00841619"/>
    <w:rsid w:val="0084182C"/>
    <w:rsid w:val="00842010"/>
    <w:rsid w:val="0084318E"/>
    <w:rsid w:val="008436A4"/>
    <w:rsid w:val="0084379E"/>
    <w:rsid w:val="00844161"/>
    <w:rsid w:val="00845337"/>
    <w:rsid w:val="00845702"/>
    <w:rsid w:val="00846038"/>
    <w:rsid w:val="00846244"/>
    <w:rsid w:val="0084627F"/>
    <w:rsid w:val="00846A26"/>
    <w:rsid w:val="00847AFD"/>
    <w:rsid w:val="00847D73"/>
    <w:rsid w:val="00847F39"/>
    <w:rsid w:val="008505D7"/>
    <w:rsid w:val="008509C9"/>
    <w:rsid w:val="00852E67"/>
    <w:rsid w:val="00853B27"/>
    <w:rsid w:val="0085400A"/>
    <w:rsid w:val="0085443D"/>
    <w:rsid w:val="008562A0"/>
    <w:rsid w:val="0085660A"/>
    <w:rsid w:val="00856FF7"/>
    <w:rsid w:val="0085743F"/>
    <w:rsid w:val="0085775F"/>
    <w:rsid w:val="00857AA3"/>
    <w:rsid w:val="00857D43"/>
    <w:rsid w:val="008604F8"/>
    <w:rsid w:val="00860D0C"/>
    <w:rsid w:val="00861728"/>
    <w:rsid w:val="008619E4"/>
    <w:rsid w:val="00861A61"/>
    <w:rsid w:val="00861DD3"/>
    <w:rsid w:val="00862A61"/>
    <w:rsid w:val="008632C0"/>
    <w:rsid w:val="00864B96"/>
    <w:rsid w:val="00865A8B"/>
    <w:rsid w:val="00866995"/>
    <w:rsid w:val="00867151"/>
    <w:rsid w:val="0086772C"/>
    <w:rsid w:val="00867E07"/>
    <w:rsid w:val="008708AF"/>
    <w:rsid w:val="00870EAF"/>
    <w:rsid w:val="00871526"/>
    <w:rsid w:val="00871CE9"/>
    <w:rsid w:val="00872994"/>
    <w:rsid w:val="00873DAC"/>
    <w:rsid w:val="00874DFD"/>
    <w:rsid w:val="00875013"/>
    <w:rsid w:val="0087541C"/>
    <w:rsid w:val="008760A4"/>
    <w:rsid w:val="00876FAA"/>
    <w:rsid w:val="008772BE"/>
    <w:rsid w:val="008772D7"/>
    <w:rsid w:val="008778C4"/>
    <w:rsid w:val="0088056F"/>
    <w:rsid w:val="00880F6C"/>
    <w:rsid w:val="00881166"/>
    <w:rsid w:val="00881D0A"/>
    <w:rsid w:val="00882151"/>
    <w:rsid w:val="00882BAB"/>
    <w:rsid w:val="00882D4A"/>
    <w:rsid w:val="00882E2E"/>
    <w:rsid w:val="00883201"/>
    <w:rsid w:val="00883CF5"/>
    <w:rsid w:val="00883EEA"/>
    <w:rsid w:val="00884495"/>
    <w:rsid w:val="00884952"/>
    <w:rsid w:val="00884C9A"/>
    <w:rsid w:val="00885C1D"/>
    <w:rsid w:val="00885CB4"/>
    <w:rsid w:val="008863FC"/>
    <w:rsid w:val="00886758"/>
    <w:rsid w:val="00887156"/>
    <w:rsid w:val="0088723B"/>
    <w:rsid w:val="00890AC6"/>
    <w:rsid w:val="00891411"/>
    <w:rsid w:val="008915DE"/>
    <w:rsid w:val="00891718"/>
    <w:rsid w:val="00891E17"/>
    <w:rsid w:val="00892DDB"/>
    <w:rsid w:val="0089367F"/>
    <w:rsid w:val="00893B71"/>
    <w:rsid w:val="0089466D"/>
    <w:rsid w:val="00894E3A"/>
    <w:rsid w:val="008951A8"/>
    <w:rsid w:val="0089544E"/>
    <w:rsid w:val="00895ACA"/>
    <w:rsid w:val="00895FD4"/>
    <w:rsid w:val="008964F5"/>
    <w:rsid w:val="008968D7"/>
    <w:rsid w:val="008969B8"/>
    <w:rsid w:val="00896DB2"/>
    <w:rsid w:val="00896EB8"/>
    <w:rsid w:val="00897269"/>
    <w:rsid w:val="00897D8D"/>
    <w:rsid w:val="008A0E21"/>
    <w:rsid w:val="008A166D"/>
    <w:rsid w:val="008A1804"/>
    <w:rsid w:val="008A1EB8"/>
    <w:rsid w:val="008A2168"/>
    <w:rsid w:val="008A2610"/>
    <w:rsid w:val="008A2701"/>
    <w:rsid w:val="008A37CA"/>
    <w:rsid w:val="008A4C71"/>
    <w:rsid w:val="008A54B9"/>
    <w:rsid w:val="008A6B81"/>
    <w:rsid w:val="008A7D0D"/>
    <w:rsid w:val="008A7E55"/>
    <w:rsid w:val="008B00E3"/>
    <w:rsid w:val="008B0348"/>
    <w:rsid w:val="008B0F95"/>
    <w:rsid w:val="008B13DF"/>
    <w:rsid w:val="008B1C49"/>
    <w:rsid w:val="008B1ED0"/>
    <w:rsid w:val="008B224D"/>
    <w:rsid w:val="008B2C18"/>
    <w:rsid w:val="008B356B"/>
    <w:rsid w:val="008B3ED7"/>
    <w:rsid w:val="008B4239"/>
    <w:rsid w:val="008B4E9B"/>
    <w:rsid w:val="008B5ED3"/>
    <w:rsid w:val="008B61A2"/>
    <w:rsid w:val="008B64A6"/>
    <w:rsid w:val="008B6932"/>
    <w:rsid w:val="008B6CFB"/>
    <w:rsid w:val="008B77F7"/>
    <w:rsid w:val="008B7B1D"/>
    <w:rsid w:val="008C0215"/>
    <w:rsid w:val="008C031F"/>
    <w:rsid w:val="008C10DA"/>
    <w:rsid w:val="008C23A2"/>
    <w:rsid w:val="008C333F"/>
    <w:rsid w:val="008C3E07"/>
    <w:rsid w:val="008C4DC0"/>
    <w:rsid w:val="008C6FF3"/>
    <w:rsid w:val="008C7629"/>
    <w:rsid w:val="008C7F01"/>
    <w:rsid w:val="008D05D9"/>
    <w:rsid w:val="008D0DFF"/>
    <w:rsid w:val="008D1B6A"/>
    <w:rsid w:val="008D207A"/>
    <w:rsid w:val="008D2213"/>
    <w:rsid w:val="008D23C6"/>
    <w:rsid w:val="008D3567"/>
    <w:rsid w:val="008D3952"/>
    <w:rsid w:val="008D3AAB"/>
    <w:rsid w:val="008D3CA0"/>
    <w:rsid w:val="008D3F73"/>
    <w:rsid w:val="008D44F9"/>
    <w:rsid w:val="008D59F7"/>
    <w:rsid w:val="008D5A2D"/>
    <w:rsid w:val="008D7109"/>
    <w:rsid w:val="008D78B7"/>
    <w:rsid w:val="008E0739"/>
    <w:rsid w:val="008E1130"/>
    <w:rsid w:val="008E2080"/>
    <w:rsid w:val="008E2C29"/>
    <w:rsid w:val="008E3533"/>
    <w:rsid w:val="008E3800"/>
    <w:rsid w:val="008E44C5"/>
    <w:rsid w:val="008E54B5"/>
    <w:rsid w:val="008E5C06"/>
    <w:rsid w:val="008E742E"/>
    <w:rsid w:val="008F009E"/>
    <w:rsid w:val="008F05D8"/>
    <w:rsid w:val="008F06EB"/>
    <w:rsid w:val="008F088C"/>
    <w:rsid w:val="008F0928"/>
    <w:rsid w:val="008F1ACD"/>
    <w:rsid w:val="008F2E34"/>
    <w:rsid w:val="008F2E41"/>
    <w:rsid w:val="008F33AA"/>
    <w:rsid w:val="008F38FD"/>
    <w:rsid w:val="008F455D"/>
    <w:rsid w:val="008F4EFB"/>
    <w:rsid w:val="008F532F"/>
    <w:rsid w:val="008F5EA6"/>
    <w:rsid w:val="008F6101"/>
    <w:rsid w:val="008F6897"/>
    <w:rsid w:val="008F6999"/>
    <w:rsid w:val="008F7639"/>
    <w:rsid w:val="008F77B5"/>
    <w:rsid w:val="009005EE"/>
    <w:rsid w:val="00900663"/>
    <w:rsid w:val="009017D9"/>
    <w:rsid w:val="0090247D"/>
    <w:rsid w:val="00902497"/>
    <w:rsid w:val="00903D25"/>
    <w:rsid w:val="00903EC0"/>
    <w:rsid w:val="009042F2"/>
    <w:rsid w:val="00904CAB"/>
    <w:rsid w:val="00904DB3"/>
    <w:rsid w:val="00905468"/>
    <w:rsid w:val="00905648"/>
    <w:rsid w:val="00905AB5"/>
    <w:rsid w:val="0090617D"/>
    <w:rsid w:val="00906591"/>
    <w:rsid w:val="00906EB7"/>
    <w:rsid w:val="0090797F"/>
    <w:rsid w:val="00907CFC"/>
    <w:rsid w:val="00911040"/>
    <w:rsid w:val="00912095"/>
    <w:rsid w:val="00912569"/>
    <w:rsid w:val="009136DA"/>
    <w:rsid w:val="00913FF8"/>
    <w:rsid w:val="0091417E"/>
    <w:rsid w:val="00914799"/>
    <w:rsid w:val="00914A3A"/>
    <w:rsid w:val="00914C2B"/>
    <w:rsid w:val="0091588E"/>
    <w:rsid w:val="009159CA"/>
    <w:rsid w:val="00916A01"/>
    <w:rsid w:val="009175DC"/>
    <w:rsid w:val="00917B84"/>
    <w:rsid w:val="009200ED"/>
    <w:rsid w:val="009201E7"/>
    <w:rsid w:val="00920205"/>
    <w:rsid w:val="009207B9"/>
    <w:rsid w:val="00920F62"/>
    <w:rsid w:val="009224E7"/>
    <w:rsid w:val="0092276F"/>
    <w:rsid w:val="00922DE5"/>
    <w:rsid w:val="00923C16"/>
    <w:rsid w:val="0092405A"/>
    <w:rsid w:val="00925B35"/>
    <w:rsid w:val="0092609D"/>
    <w:rsid w:val="0092641C"/>
    <w:rsid w:val="00926EC6"/>
    <w:rsid w:val="00927DB4"/>
    <w:rsid w:val="0093022F"/>
    <w:rsid w:val="00930579"/>
    <w:rsid w:val="009307BC"/>
    <w:rsid w:val="00930C2E"/>
    <w:rsid w:val="0093144C"/>
    <w:rsid w:val="009314C8"/>
    <w:rsid w:val="0093196F"/>
    <w:rsid w:val="009321D0"/>
    <w:rsid w:val="009339EC"/>
    <w:rsid w:val="00933E4D"/>
    <w:rsid w:val="009340B4"/>
    <w:rsid w:val="0093430D"/>
    <w:rsid w:val="00934FC0"/>
    <w:rsid w:val="00935285"/>
    <w:rsid w:val="009355B9"/>
    <w:rsid w:val="00936112"/>
    <w:rsid w:val="00936241"/>
    <w:rsid w:val="00936A90"/>
    <w:rsid w:val="009371E8"/>
    <w:rsid w:val="0093763B"/>
    <w:rsid w:val="00937C17"/>
    <w:rsid w:val="00937D9C"/>
    <w:rsid w:val="00940474"/>
    <w:rsid w:val="009407FC"/>
    <w:rsid w:val="00940CCA"/>
    <w:rsid w:val="00940E8F"/>
    <w:rsid w:val="0094103D"/>
    <w:rsid w:val="00941429"/>
    <w:rsid w:val="009416AD"/>
    <w:rsid w:val="009417D0"/>
    <w:rsid w:val="009419BF"/>
    <w:rsid w:val="009428CB"/>
    <w:rsid w:val="0094443D"/>
    <w:rsid w:val="00944B6C"/>
    <w:rsid w:val="0094506E"/>
    <w:rsid w:val="00946954"/>
    <w:rsid w:val="009470D1"/>
    <w:rsid w:val="00947116"/>
    <w:rsid w:val="00947171"/>
    <w:rsid w:val="0094749A"/>
    <w:rsid w:val="00947CE3"/>
    <w:rsid w:val="00950813"/>
    <w:rsid w:val="009508A3"/>
    <w:rsid w:val="00950D14"/>
    <w:rsid w:val="0095192B"/>
    <w:rsid w:val="009526C6"/>
    <w:rsid w:val="009536E5"/>
    <w:rsid w:val="00953893"/>
    <w:rsid w:val="00953DE7"/>
    <w:rsid w:val="00953EA9"/>
    <w:rsid w:val="00954F65"/>
    <w:rsid w:val="0095630B"/>
    <w:rsid w:val="00956A61"/>
    <w:rsid w:val="00956EAC"/>
    <w:rsid w:val="00956EBB"/>
    <w:rsid w:val="00960B59"/>
    <w:rsid w:val="00960BC2"/>
    <w:rsid w:val="00960C08"/>
    <w:rsid w:val="0096130F"/>
    <w:rsid w:val="009614BD"/>
    <w:rsid w:val="00961FE2"/>
    <w:rsid w:val="00962839"/>
    <w:rsid w:val="0096288D"/>
    <w:rsid w:val="00964255"/>
    <w:rsid w:val="00964583"/>
    <w:rsid w:val="009645CC"/>
    <w:rsid w:val="00965077"/>
    <w:rsid w:val="009657FE"/>
    <w:rsid w:val="00965D14"/>
    <w:rsid w:val="00965DC9"/>
    <w:rsid w:val="00966ADF"/>
    <w:rsid w:val="00967D1F"/>
    <w:rsid w:val="00970040"/>
    <w:rsid w:val="00970BDC"/>
    <w:rsid w:val="00970CE1"/>
    <w:rsid w:val="00970ED3"/>
    <w:rsid w:val="00971090"/>
    <w:rsid w:val="00971980"/>
    <w:rsid w:val="00971DBA"/>
    <w:rsid w:val="00971F5E"/>
    <w:rsid w:val="00973219"/>
    <w:rsid w:val="00973384"/>
    <w:rsid w:val="00973612"/>
    <w:rsid w:val="00974B5A"/>
    <w:rsid w:val="00975224"/>
    <w:rsid w:val="00975898"/>
    <w:rsid w:val="00975FB6"/>
    <w:rsid w:val="009769C3"/>
    <w:rsid w:val="00976DAF"/>
    <w:rsid w:val="009770AF"/>
    <w:rsid w:val="00977317"/>
    <w:rsid w:val="00977569"/>
    <w:rsid w:val="00980BA9"/>
    <w:rsid w:val="00980BE4"/>
    <w:rsid w:val="00980BF8"/>
    <w:rsid w:val="009818F6"/>
    <w:rsid w:val="00981D0D"/>
    <w:rsid w:val="0098211B"/>
    <w:rsid w:val="0098323E"/>
    <w:rsid w:val="009833C7"/>
    <w:rsid w:val="009833FD"/>
    <w:rsid w:val="0098358E"/>
    <w:rsid w:val="00983671"/>
    <w:rsid w:val="00983939"/>
    <w:rsid w:val="00983C60"/>
    <w:rsid w:val="00983EAA"/>
    <w:rsid w:val="00985041"/>
    <w:rsid w:val="009851A6"/>
    <w:rsid w:val="009855F3"/>
    <w:rsid w:val="00985A99"/>
    <w:rsid w:val="009860C0"/>
    <w:rsid w:val="009863C3"/>
    <w:rsid w:val="0098654C"/>
    <w:rsid w:val="009865A6"/>
    <w:rsid w:val="0098680C"/>
    <w:rsid w:val="00986828"/>
    <w:rsid w:val="00986FE0"/>
    <w:rsid w:val="0098716E"/>
    <w:rsid w:val="009875C1"/>
    <w:rsid w:val="009877B2"/>
    <w:rsid w:val="00987DA6"/>
    <w:rsid w:val="009903D8"/>
    <w:rsid w:val="00990B18"/>
    <w:rsid w:val="00991607"/>
    <w:rsid w:val="00991E15"/>
    <w:rsid w:val="00992913"/>
    <w:rsid w:val="00992EE5"/>
    <w:rsid w:val="00993E0F"/>
    <w:rsid w:val="00993E14"/>
    <w:rsid w:val="009960E9"/>
    <w:rsid w:val="009964AB"/>
    <w:rsid w:val="009967C8"/>
    <w:rsid w:val="0099731F"/>
    <w:rsid w:val="0099797E"/>
    <w:rsid w:val="009A0750"/>
    <w:rsid w:val="009A1D62"/>
    <w:rsid w:val="009A2366"/>
    <w:rsid w:val="009A3970"/>
    <w:rsid w:val="009A3C45"/>
    <w:rsid w:val="009A4651"/>
    <w:rsid w:val="009A49A2"/>
    <w:rsid w:val="009A4D02"/>
    <w:rsid w:val="009A4F13"/>
    <w:rsid w:val="009A6D38"/>
    <w:rsid w:val="009A6DE2"/>
    <w:rsid w:val="009A7566"/>
    <w:rsid w:val="009B0165"/>
    <w:rsid w:val="009B0682"/>
    <w:rsid w:val="009B075D"/>
    <w:rsid w:val="009B08CA"/>
    <w:rsid w:val="009B15FC"/>
    <w:rsid w:val="009B17EC"/>
    <w:rsid w:val="009B2851"/>
    <w:rsid w:val="009B2DD8"/>
    <w:rsid w:val="009B2FAB"/>
    <w:rsid w:val="009B37A1"/>
    <w:rsid w:val="009B3FAD"/>
    <w:rsid w:val="009B45EB"/>
    <w:rsid w:val="009B4B74"/>
    <w:rsid w:val="009B69BC"/>
    <w:rsid w:val="009B7262"/>
    <w:rsid w:val="009B73DC"/>
    <w:rsid w:val="009B79DD"/>
    <w:rsid w:val="009C042B"/>
    <w:rsid w:val="009C04FC"/>
    <w:rsid w:val="009C134D"/>
    <w:rsid w:val="009C1F3F"/>
    <w:rsid w:val="009C22CD"/>
    <w:rsid w:val="009C2D78"/>
    <w:rsid w:val="009C38FE"/>
    <w:rsid w:val="009C3935"/>
    <w:rsid w:val="009C46D2"/>
    <w:rsid w:val="009C4711"/>
    <w:rsid w:val="009C4AAA"/>
    <w:rsid w:val="009C4F21"/>
    <w:rsid w:val="009C535B"/>
    <w:rsid w:val="009C5C71"/>
    <w:rsid w:val="009C5DCE"/>
    <w:rsid w:val="009C67FD"/>
    <w:rsid w:val="009C6DFC"/>
    <w:rsid w:val="009C70E2"/>
    <w:rsid w:val="009C75C0"/>
    <w:rsid w:val="009C760D"/>
    <w:rsid w:val="009C769F"/>
    <w:rsid w:val="009C7F7C"/>
    <w:rsid w:val="009D013B"/>
    <w:rsid w:val="009D05A5"/>
    <w:rsid w:val="009D09E5"/>
    <w:rsid w:val="009D1035"/>
    <w:rsid w:val="009D1412"/>
    <w:rsid w:val="009D24F5"/>
    <w:rsid w:val="009D27D6"/>
    <w:rsid w:val="009D2856"/>
    <w:rsid w:val="009D2D1C"/>
    <w:rsid w:val="009D3761"/>
    <w:rsid w:val="009D3BD8"/>
    <w:rsid w:val="009D3E19"/>
    <w:rsid w:val="009D4C2C"/>
    <w:rsid w:val="009D4D1A"/>
    <w:rsid w:val="009D518E"/>
    <w:rsid w:val="009D5745"/>
    <w:rsid w:val="009D5DA2"/>
    <w:rsid w:val="009D7624"/>
    <w:rsid w:val="009D780D"/>
    <w:rsid w:val="009E02A4"/>
    <w:rsid w:val="009E083B"/>
    <w:rsid w:val="009E09BD"/>
    <w:rsid w:val="009E0F05"/>
    <w:rsid w:val="009E20D6"/>
    <w:rsid w:val="009E2636"/>
    <w:rsid w:val="009E27F4"/>
    <w:rsid w:val="009E34B3"/>
    <w:rsid w:val="009E3C7A"/>
    <w:rsid w:val="009E3EC9"/>
    <w:rsid w:val="009E429A"/>
    <w:rsid w:val="009E42CF"/>
    <w:rsid w:val="009E43A5"/>
    <w:rsid w:val="009E48F6"/>
    <w:rsid w:val="009E4C74"/>
    <w:rsid w:val="009E4E46"/>
    <w:rsid w:val="009E5FE9"/>
    <w:rsid w:val="009F0619"/>
    <w:rsid w:val="009F1E72"/>
    <w:rsid w:val="009F230A"/>
    <w:rsid w:val="009F4335"/>
    <w:rsid w:val="009F48F8"/>
    <w:rsid w:val="009F603A"/>
    <w:rsid w:val="009F6649"/>
    <w:rsid w:val="009F7216"/>
    <w:rsid w:val="009F7497"/>
    <w:rsid w:val="00A00386"/>
    <w:rsid w:val="00A00DD6"/>
    <w:rsid w:val="00A00E73"/>
    <w:rsid w:val="00A02615"/>
    <w:rsid w:val="00A027AF"/>
    <w:rsid w:val="00A02815"/>
    <w:rsid w:val="00A0365B"/>
    <w:rsid w:val="00A038E7"/>
    <w:rsid w:val="00A04928"/>
    <w:rsid w:val="00A04AB4"/>
    <w:rsid w:val="00A05233"/>
    <w:rsid w:val="00A05F4F"/>
    <w:rsid w:val="00A061EC"/>
    <w:rsid w:val="00A0685D"/>
    <w:rsid w:val="00A06960"/>
    <w:rsid w:val="00A06D3C"/>
    <w:rsid w:val="00A0728D"/>
    <w:rsid w:val="00A07499"/>
    <w:rsid w:val="00A10771"/>
    <w:rsid w:val="00A10898"/>
    <w:rsid w:val="00A10D63"/>
    <w:rsid w:val="00A13382"/>
    <w:rsid w:val="00A1353D"/>
    <w:rsid w:val="00A13B01"/>
    <w:rsid w:val="00A13CF6"/>
    <w:rsid w:val="00A13D4D"/>
    <w:rsid w:val="00A14118"/>
    <w:rsid w:val="00A14529"/>
    <w:rsid w:val="00A14E3E"/>
    <w:rsid w:val="00A151A8"/>
    <w:rsid w:val="00A15A19"/>
    <w:rsid w:val="00A15FFD"/>
    <w:rsid w:val="00A163F0"/>
    <w:rsid w:val="00A16647"/>
    <w:rsid w:val="00A16AE1"/>
    <w:rsid w:val="00A179C1"/>
    <w:rsid w:val="00A20110"/>
    <w:rsid w:val="00A205B6"/>
    <w:rsid w:val="00A21172"/>
    <w:rsid w:val="00A21BE5"/>
    <w:rsid w:val="00A21CEE"/>
    <w:rsid w:val="00A21EEF"/>
    <w:rsid w:val="00A21F75"/>
    <w:rsid w:val="00A2240D"/>
    <w:rsid w:val="00A227A2"/>
    <w:rsid w:val="00A22D8B"/>
    <w:rsid w:val="00A22D92"/>
    <w:rsid w:val="00A22EA2"/>
    <w:rsid w:val="00A235BD"/>
    <w:rsid w:val="00A23D27"/>
    <w:rsid w:val="00A23D86"/>
    <w:rsid w:val="00A23EB5"/>
    <w:rsid w:val="00A24673"/>
    <w:rsid w:val="00A262F3"/>
    <w:rsid w:val="00A2732D"/>
    <w:rsid w:val="00A27662"/>
    <w:rsid w:val="00A2794D"/>
    <w:rsid w:val="00A27A25"/>
    <w:rsid w:val="00A27A6E"/>
    <w:rsid w:val="00A3037E"/>
    <w:rsid w:val="00A3069E"/>
    <w:rsid w:val="00A30ADB"/>
    <w:rsid w:val="00A310A7"/>
    <w:rsid w:val="00A31110"/>
    <w:rsid w:val="00A321A2"/>
    <w:rsid w:val="00A32D26"/>
    <w:rsid w:val="00A3606F"/>
    <w:rsid w:val="00A364F4"/>
    <w:rsid w:val="00A36FC4"/>
    <w:rsid w:val="00A40A6D"/>
    <w:rsid w:val="00A429AA"/>
    <w:rsid w:val="00A429E1"/>
    <w:rsid w:val="00A43127"/>
    <w:rsid w:val="00A431F8"/>
    <w:rsid w:val="00A43200"/>
    <w:rsid w:val="00A43791"/>
    <w:rsid w:val="00A44F91"/>
    <w:rsid w:val="00A45827"/>
    <w:rsid w:val="00A461BE"/>
    <w:rsid w:val="00A473E2"/>
    <w:rsid w:val="00A4745D"/>
    <w:rsid w:val="00A50607"/>
    <w:rsid w:val="00A50898"/>
    <w:rsid w:val="00A5093A"/>
    <w:rsid w:val="00A5193E"/>
    <w:rsid w:val="00A51BFF"/>
    <w:rsid w:val="00A51D95"/>
    <w:rsid w:val="00A520E1"/>
    <w:rsid w:val="00A5226F"/>
    <w:rsid w:val="00A52912"/>
    <w:rsid w:val="00A52C37"/>
    <w:rsid w:val="00A52DD9"/>
    <w:rsid w:val="00A54576"/>
    <w:rsid w:val="00A549A0"/>
    <w:rsid w:val="00A54BEC"/>
    <w:rsid w:val="00A55BD2"/>
    <w:rsid w:val="00A55C0E"/>
    <w:rsid w:val="00A55E60"/>
    <w:rsid w:val="00A5606A"/>
    <w:rsid w:val="00A563D2"/>
    <w:rsid w:val="00A56DCF"/>
    <w:rsid w:val="00A57C83"/>
    <w:rsid w:val="00A57F99"/>
    <w:rsid w:val="00A60B63"/>
    <w:rsid w:val="00A60EBF"/>
    <w:rsid w:val="00A61490"/>
    <w:rsid w:val="00A61BF2"/>
    <w:rsid w:val="00A61E45"/>
    <w:rsid w:val="00A6267D"/>
    <w:rsid w:val="00A632B9"/>
    <w:rsid w:val="00A63319"/>
    <w:rsid w:val="00A63BEE"/>
    <w:rsid w:val="00A63EAA"/>
    <w:rsid w:val="00A6428E"/>
    <w:rsid w:val="00A65A23"/>
    <w:rsid w:val="00A66AFB"/>
    <w:rsid w:val="00A66C74"/>
    <w:rsid w:val="00A67219"/>
    <w:rsid w:val="00A6754A"/>
    <w:rsid w:val="00A67790"/>
    <w:rsid w:val="00A67F8B"/>
    <w:rsid w:val="00A704FC"/>
    <w:rsid w:val="00A70A64"/>
    <w:rsid w:val="00A71E21"/>
    <w:rsid w:val="00A722EA"/>
    <w:rsid w:val="00A728D6"/>
    <w:rsid w:val="00A73210"/>
    <w:rsid w:val="00A7399B"/>
    <w:rsid w:val="00A73ADE"/>
    <w:rsid w:val="00A73C49"/>
    <w:rsid w:val="00A73CC6"/>
    <w:rsid w:val="00A745F2"/>
    <w:rsid w:val="00A74914"/>
    <w:rsid w:val="00A7504B"/>
    <w:rsid w:val="00A75383"/>
    <w:rsid w:val="00A76035"/>
    <w:rsid w:val="00A764F1"/>
    <w:rsid w:val="00A767BB"/>
    <w:rsid w:val="00A811E8"/>
    <w:rsid w:val="00A8176A"/>
    <w:rsid w:val="00A81C4E"/>
    <w:rsid w:val="00A81C69"/>
    <w:rsid w:val="00A81FF7"/>
    <w:rsid w:val="00A82513"/>
    <w:rsid w:val="00A828C9"/>
    <w:rsid w:val="00A82CA9"/>
    <w:rsid w:val="00A82F3F"/>
    <w:rsid w:val="00A830D7"/>
    <w:rsid w:val="00A83401"/>
    <w:rsid w:val="00A834BF"/>
    <w:rsid w:val="00A83767"/>
    <w:rsid w:val="00A85AC4"/>
    <w:rsid w:val="00A85B4A"/>
    <w:rsid w:val="00A8698C"/>
    <w:rsid w:val="00A86E55"/>
    <w:rsid w:val="00A874AE"/>
    <w:rsid w:val="00A87954"/>
    <w:rsid w:val="00A903C8"/>
    <w:rsid w:val="00A90FF2"/>
    <w:rsid w:val="00A91634"/>
    <w:rsid w:val="00A933DE"/>
    <w:rsid w:val="00A93EAF"/>
    <w:rsid w:val="00A94611"/>
    <w:rsid w:val="00A952EA"/>
    <w:rsid w:val="00A9574F"/>
    <w:rsid w:val="00A958A5"/>
    <w:rsid w:val="00A95A2D"/>
    <w:rsid w:val="00A95E36"/>
    <w:rsid w:val="00A95ED3"/>
    <w:rsid w:val="00A95EEC"/>
    <w:rsid w:val="00A971F8"/>
    <w:rsid w:val="00A9739A"/>
    <w:rsid w:val="00A97B21"/>
    <w:rsid w:val="00AA0267"/>
    <w:rsid w:val="00AA04D8"/>
    <w:rsid w:val="00AA145D"/>
    <w:rsid w:val="00AA1A94"/>
    <w:rsid w:val="00AA1CC0"/>
    <w:rsid w:val="00AA2458"/>
    <w:rsid w:val="00AA2714"/>
    <w:rsid w:val="00AA2903"/>
    <w:rsid w:val="00AA2A27"/>
    <w:rsid w:val="00AA2B55"/>
    <w:rsid w:val="00AA2BAB"/>
    <w:rsid w:val="00AA3353"/>
    <w:rsid w:val="00AA3476"/>
    <w:rsid w:val="00AA397D"/>
    <w:rsid w:val="00AA3E8F"/>
    <w:rsid w:val="00AA490F"/>
    <w:rsid w:val="00AA4CA3"/>
    <w:rsid w:val="00AA4D07"/>
    <w:rsid w:val="00AA4DBE"/>
    <w:rsid w:val="00AA539D"/>
    <w:rsid w:val="00AA5550"/>
    <w:rsid w:val="00AA5603"/>
    <w:rsid w:val="00AA7466"/>
    <w:rsid w:val="00AB1053"/>
    <w:rsid w:val="00AB19DD"/>
    <w:rsid w:val="00AB1AAE"/>
    <w:rsid w:val="00AB21F9"/>
    <w:rsid w:val="00AB22CC"/>
    <w:rsid w:val="00AB2C2E"/>
    <w:rsid w:val="00AB2E2D"/>
    <w:rsid w:val="00AB3909"/>
    <w:rsid w:val="00AB393C"/>
    <w:rsid w:val="00AB3A7E"/>
    <w:rsid w:val="00AB4143"/>
    <w:rsid w:val="00AB488E"/>
    <w:rsid w:val="00AB4A58"/>
    <w:rsid w:val="00AB540E"/>
    <w:rsid w:val="00AB617A"/>
    <w:rsid w:val="00AB6943"/>
    <w:rsid w:val="00AC033F"/>
    <w:rsid w:val="00AC1807"/>
    <w:rsid w:val="00AC1D9E"/>
    <w:rsid w:val="00AC243C"/>
    <w:rsid w:val="00AC50DA"/>
    <w:rsid w:val="00AC540F"/>
    <w:rsid w:val="00AC5532"/>
    <w:rsid w:val="00AC58B4"/>
    <w:rsid w:val="00AC5BDB"/>
    <w:rsid w:val="00AC5C65"/>
    <w:rsid w:val="00AC6C3A"/>
    <w:rsid w:val="00AC7012"/>
    <w:rsid w:val="00AC7471"/>
    <w:rsid w:val="00AC7E61"/>
    <w:rsid w:val="00AD032F"/>
    <w:rsid w:val="00AD1D03"/>
    <w:rsid w:val="00AD2DF4"/>
    <w:rsid w:val="00AD3125"/>
    <w:rsid w:val="00AD4BB3"/>
    <w:rsid w:val="00AD4F75"/>
    <w:rsid w:val="00AD555B"/>
    <w:rsid w:val="00AD5BC5"/>
    <w:rsid w:val="00AD693F"/>
    <w:rsid w:val="00AE01CF"/>
    <w:rsid w:val="00AE0900"/>
    <w:rsid w:val="00AE0D65"/>
    <w:rsid w:val="00AE0EDD"/>
    <w:rsid w:val="00AE104B"/>
    <w:rsid w:val="00AE14D5"/>
    <w:rsid w:val="00AE16A0"/>
    <w:rsid w:val="00AE18D3"/>
    <w:rsid w:val="00AE193F"/>
    <w:rsid w:val="00AE1BFE"/>
    <w:rsid w:val="00AE2A4B"/>
    <w:rsid w:val="00AE2DBB"/>
    <w:rsid w:val="00AE3EE8"/>
    <w:rsid w:val="00AE5086"/>
    <w:rsid w:val="00AE5463"/>
    <w:rsid w:val="00AE5A9E"/>
    <w:rsid w:val="00AE5CBE"/>
    <w:rsid w:val="00AE60C6"/>
    <w:rsid w:val="00AE6F9E"/>
    <w:rsid w:val="00AE7206"/>
    <w:rsid w:val="00AE7DB5"/>
    <w:rsid w:val="00AF0336"/>
    <w:rsid w:val="00AF2A89"/>
    <w:rsid w:val="00AF37CB"/>
    <w:rsid w:val="00AF4B7E"/>
    <w:rsid w:val="00AF4EB8"/>
    <w:rsid w:val="00AF56DB"/>
    <w:rsid w:val="00AF5718"/>
    <w:rsid w:val="00AF5D37"/>
    <w:rsid w:val="00AF66EB"/>
    <w:rsid w:val="00AF6CB1"/>
    <w:rsid w:val="00AF7309"/>
    <w:rsid w:val="00AF7A7E"/>
    <w:rsid w:val="00B00983"/>
    <w:rsid w:val="00B01117"/>
    <w:rsid w:val="00B01816"/>
    <w:rsid w:val="00B01C49"/>
    <w:rsid w:val="00B0377A"/>
    <w:rsid w:val="00B04269"/>
    <w:rsid w:val="00B04383"/>
    <w:rsid w:val="00B044CF"/>
    <w:rsid w:val="00B047F6"/>
    <w:rsid w:val="00B048D4"/>
    <w:rsid w:val="00B04CD5"/>
    <w:rsid w:val="00B04EC5"/>
    <w:rsid w:val="00B05290"/>
    <w:rsid w:val="00B0637D"/>
    <w:rsid w:val="00B06B40"/>
    <w:rsid w:val="00B07386"/>
    <w:rsid w:val="00B0757A"/>
    <w:rsid w:val="00B075C2"/>
    <w:rsid w:val="00B07D11"/>
    <w:rsid w:val="00B07D3B"/>
    <w:rsid w:val="00B10832"/>
    <w:rsid w:val="00B128D7"/>
    <w:rsid w:val="00B12D6A"/>
    <w:rsid w:val="00B14745"/>
    <w:rsid w:val="00B14BBB"/>
    <w:rsid w:val="00B2023A"/>
    <w:rsid w:val="00B2068B"/>
    <w:rsid w:val="00B20AC8"/>
    <w:rsid w:val="00B20C4A"/>
    <w:rsid w:val="00B2152F"/>
    <w:rsid w:val="00B21B1F"/>
    <w:rsid w:val="00B21ECA"/>
    <w:rsid w:val="00B21F41"/>
    <w:rsid w:val="00B2267D"/>
    <w:rsid w:val="00B22E28"/>
    <w:rsid w:val="00B22E78"/>
    <w:rsid w:val="00B23059"/>
    <w:rsid w:val="00B23BFE"/>
    <w:rsid w:val="00B253D9"/>
    <w:rsid w:val="00B25558"/>
    <w:rsid w:val="00B25863"/>
    <w:rsid w:val="00B2595B"/>
    <w:rsid w:val="00B25B31"/>
    <w:rsid w:val="00B25D53"/>
    <w:rsid w:val="00B25F49"/>
    <w:rsid w:val="00B274AB"/>
    <w:rsid w:val="00B274E7"/>
    <w:rsid w:val="00B276BA"/>
    <w:rsid w:val="00B27991"/>
    <w:rsid w:val="00B27D77"/>
    <w:rsid w:val="00B3136E"/>
    <w:rsid w:val="00B313A4"/>
    <w:rsid w:val="00B32368"/>
    <w:rsid w:val="00B3310F"/>
    <w:rsid w:val="00B33144"/>
    <w:rsid w:val="00B33396"/>
    <w:rsid w:val="00B3367B"/>
    <w:rsid w:val="00B338BB"/>
    <w:rsid w:val="00B33BD5"/>
    <w:rsid w:val="00B33D01"/>
    <w:rsid w:val="00B33E0A"/>
    <w:rsid w:val="00B340A1"/>
    <w:rsid w:val="00B352AE"/>
    <w:rsid w:val="00B35B97"/>
    <w:rsid w:val="00B35BE7"/>
    <w:rsid w:val="00B35C4C"/>
    <w:rsid w:val="00B360DF"/>
    <w:rsid w:val="00B36AB7"/>
    <w:rsid w:val="00B379E7"/>
    <w:rsid w:val="00B37E7C"/>
    <w:rsid w:val="00B409AF"/>
    <w:rsid w:val="00B413BD"/>
    <w:rsid w:val="00B432A5"/>
    <w:rsid w:val="00B446A1"/>
    <w:rsid w:val="00B45791"/>
    <w:rsid w:val="00B46047"/>
    <w:rsid w:val="00B47880"/>
    <w:rsid w:val="00B5061D"/>
    <w:rsid w:val="00B509FF"/>
    <w:rsid w:val="00B5194E"/>
    <w:rsid w:val="00B5226E"/>
    <w:rsid w:val="00B522BF"/>
    <w:rsid w:val="00B5308B"/>
    <w:rsid w:val="00B53267"/>
    <w:rsid w:val="00B53DBF"/>
    <w:rsid w:val="00B5471A"/>
    <w:rsid w:val="00B54954"/>
    <w:rsid w:val="00B56138"/>
    <w:rsid w:val="00B567BB"/>
    <w:rsid w:val="00B57C8E"/>
    <w:rsid w:val="00B6022D"/>
    <w:rsid w:val="00B60EB4"/>
    <w:rsid w:val="00B612EA"/>
    <w:rsid w:val="00B61C7E"/>
    <w:rsid w:val="00B61F6F"/>
    <w:rsid w:val="00B62C25"/>
    <w:rsid w:val="00B63934"/>
    <w:rsid w:val="00B64F9D"/>
    <w:rsid w:val="00B65103"/>
    <w:rsid w:val="00B65AC5"/>
    <w:rsid w:val="00B65D55"/>
    <w:rsid w:val="00B66188"/>
    <w:rsid w:val="00B66B82"/>
    <w:rsid w:val="00B66EC0"/>
    <w:rsid w:val="00B715E4"/>
    <w:rsid w:val="00B71624"/>
    <w:rsid w:val="00B72124"/>
    <w:rsid w:val="00B72140"/>
    <w:rsid w:val="00B73844"/>
    <w:rsid w:val="00B73FC3"/>
    <w:rsid w:val="00B7441F"/>
    <w:rsid w:val="00B7443C"/>
    <w:rsid w:val="00B745E0"/>
    <w:rsid w:val="00B755FD"/>
    <w:rsid w:val="00B7658D"/>
    <w:rsid w:val="00B76B53"/>
    <w:rsid w:val="00B76F26"/>
    <w:rsid w:val="00B778AA"/>
    <w:rsid w:val="00B806A3"/>
    <w:rsid w:val="00B81794"/>
    <w:rsid w:val="00B82F31"/>
    <w:rsid w:val="00B82FD0"/>
    <w:rsid w:val="00B84464"/>
    <w:rsid w:val="00B852B5"/>
    <w:rsid w:val="00B86269"/>
    <w:rsid w:val="00B872BE"/>
    <w:rsid w:val="00B90500"/>
    <w:rsid w:val="00B90B7A"/>
    <w:rsid w:val="00B91735"/>
    <w:rsid w:val="00B920B4"/>
    <w:rsid w:val="00B92633"/>
    <w:rsid w:val="00B92B00"/>
    <w:rsid w:val="00B92BD1"/>
    <w:rsid w:val="00B934CD"/>
    <w:rsid w:val="00B935A4"/>
    <w:rsid w:val="00B9365B"/>
    <w:rsid w:val="00B93D6F"/>
    <w:rsid w:val="00B93E60"/>
    <w:rsid w:val="00B94097"/>
    <w:rsid w:val="00B94DD0"/>
    <w:rsid w:val="00B95415"/>
    <w:rsid w:val="00B9579A"/>
    <w:rsid w:val="00B96992"/>
    <w:rsid w:val="00BA03AC"/>
    <w:rsid w:val="00BA0B91"/>
    <w:rsid w:val="00BA18D2"/>
    <w:rsid w:val="00BA1EE3"/>
    <w:rsid w:val="00BA216E"/>
    <w:rsid w:val="00BA25C0"/>
    <w:rsid w:val="00BA2DFD"/>
    <w:rsid w:val="00BA3436"/>
    <w:rsid w:val="00BA34C9"/>
    <w:rsid w:val="00BA381F"/>
    <w:rsid w:val="00BA3F15"/>
    <w:rsid w:val="00BA5578"/>
    <w:rsid w:val="00BA5D55"/>
    <w:rsid w:val="00BA6295"/>
    <w:rsid w:val="00BA687D"/>
    <w:rsid w:val="00BA6EFD"/>
    <w:rsid w:val="00BA6FC0"/>
    <w:rsid w:val="00BB03B5"/>
    <w:rsid w:val="00BB073C"/>
    <w:rsid w:val="00BB09C2"/>
    <w:rsid w:val="00BB0E3E"/>
    <w:rsid w:val="00BB1770"/>
    <w:rsid w:val="00BB1E35"/>
    <w:rsid w:val="00BB27D6"/>
    <w:rsid w:val="00BB28E2"/>
    <w:rsid w:val="00BB3CF1"/>
    <w:rsid w:val="00BB41F4"/>
    <w:rsid w:val="00BB46FD"/>
    <w:rsid w:val="00BB4870"/>
    <w:rsid w:val="00BB4A68"/>
    <w:rsid w:val="00BB4D50"/>
    <w:rsid w:val="00BB4E6C"/>
    <w:rsid w:val="00BB5E43"/>
    <w:rsid w:val="00BB6244"/>
    <w:rsid w:val="00BB66F5"/>
    <w:rsid w:val="00BB697E"/>
    <w:rsid w:val="00BB6BE8"/>
    <w:rsid w:val="00BB6E3B"/>
    <w:rsid w:val="00BB7F63"/>
    <w:rsid w:val="00BC0C83"/>
    <w:rsid w:val="00BC0EB0"/>
    <w:rsid w:val="00BC1209"/>
    <w:rsid w:val="00BC2A17"/>
    <w:rsid w:val="00BC2E2D"/>
    <w:rsid w:val="00BC4194"/>
    <w:rsid w:val="00BC4326"/>
    <w:rsid w:val="00BC54C4"/>
    <w:rsid w:val="00BC5646"/>
    <w:rsid w:val="00BC56BA"/>
    <w:rsid w:val="00BC5B9A"/>
    <w:rsid w:val="00BC5BA0"/>
    <w:rsid w:val="00BC76A1"/>
    <w:rsid w:val="00BC7C48"/>
    <w:rsid w:val="00BC7EA8"/>
    <w:rsid w:val="00BD0AED"/>
    <w:rsid w:val="00BD0C23"/>
    <w:rsid w:val="00BD10E4"/>
    <w:rsid w:val="00BD113A"/>
    <w:rsid w:val="00BD154F"/>
    <w:rsid w:val="00BD2330"/>
    <w:rsid w:val="00BD2D5C"/>
    <w:rsid w:val="00BD2D61"/>
    <w:rsid w:val="00BD33E3"/>
    <w:rsid w:val="00BD4554"/>
    <w:rsid w:val="00BD4727"/>
    <w:rsid w:val="00BD4B33"/>
    <w:rsid w:val="00BD5377"/>
    <w:rsid w:val="00BD54ED"/>
    <w:rsid w:val="00BD5737"/>
    <w:rsid w:val="00BD5AF5"/>
    <w:rsid w:val="00BD5C2D"/>
    <w:rsid w:val="00BE15F1"/>
    <w:rsid w:val="00BE175F"/>
    <w:rsid w:val="00BE2082"/>
    <w:rsid w:val="00BE22CC"/>
    <w:rsid w:val="00BE22E0"/>
    <w:rsid w:val="00BE2999"/>
    <w:rsid w:val="00BE3323"/>
    <w:rsid w:val="00BE3383"/>
    <w:rsid w:val="00BE3DFC"/>
    <w:rsid w:val="00BE3F08"/>
    <w:rsid w:val="00BE454D"/>
    <w:rsid w:val="00BE4958"/>
    <w:rsid w:val="00BE4B1B"/>
    <w:rsid w:val="00BE4DB0"/>
    <w:rsid w:val="00BE4DD1"/>
    <w:rsid w:val="00BE6FE4"/>
    <w:rsid w:val="00BE7BB5"/>
    <w:rsid w:val="00BF0A47"/>
    <w:rsid w:val="00BF117A"/>
    <w:rsid w:val="00BF1B1F"/>
    <w:rsid w:val="00BF2673"/>
    <w:rsid w:val="00BF3A02"/>
    <w:rsid w:val="00BF40A8"/>
    <w:rsid w:val="00BF49E1"/>
    <w:rsid w:val="00BF5DEF"/>
    <w:rsid w:val="00BF69EA"/>
    <w:rsid w:val="00BF6D33"/>
    <w:rsid w:val="00BF747F"/>
    <w:rsid w:val="00C00F79"/>
    <w:rsid w:val="00C018D6"/>
    <w:rsid w:val="00C01B14"/>
    <w:rsid w:val="00C021AE"/>
    <w:rsid w:val="00C036B6"/>
    <w:rsid w:val="00C046A0"/>
    <w:rsid w:val="00C04709"/>
    <w:rsid w:val="00C04A67"/>
    <w:rsid w:val="00C04E46"/>
    <w:rsid w:val="00C0553B"/>
    <w:rsid w:val="00C07FC4"/>
    <w:rsid w:val="00C11D7B"/>
    <w:rsid w:val="00C1248E"/>
    <w:rsid w:val="00C12625"/>
    <w:rsid w:val="00C12C41"/>
    <w:rsid w:val="00C141EB"/>
    <w:rsid w:val="00C14BAC"/>
    <w:rsid w:val="00C15058"/>
    <w:rsid w:val="00C15413"/>
    <w:rsid w:val="00C15D84"/>
    <w:rsid w:val="00C16023"/>
    <w:rsid w:val="00C175A7"/>
    <w:rsid w:val="00C175EC"/>
    <w:rsid w:val="00C205E5"/>
    <w:rsid w:val="00C207D5"/>
    <w:rsid w:val="00C20D53"/>
    <w:rsid w:val="00C21180"/>
    <w:rsid w:val="00C2185A"/>
    <w:rsid w:val="00C221C5"/>
    <w:rsid w:val="00C226F3"/>
    <w:rsid w:val="00C23B76"/>
    <w:rsid w:val="00C23E40"/>
    <w:rsid w:val="00C24DDB"/>
    <w:rsid w:val="00C260C6"/>
    <w:rsid w:val="00C266D2"/>
    <w:rsid w:val="00C26CA1"/>
    <w:rsid w:val="00C271CD"/>
    <w:rsid w:val="00C27465"/>
    <w:rsid w:val="00C27668"/>
    <w:rsid w:val="00C278D5"/>
    <w:rsid w:val="00C27F21"/>
    <w:rsid w:val="00C31031"/>
    <w:rsid w:val="00C3226D"/>
    <w:rsid w:val="00C32323"/>
    <w:rsid w:val="00C332D0"/>
    <w:rsid w:val="00C3370A"/>
    <w:rsid w:val="00C33FDC"/>
    <w:rsid w:val="00C3463A"/>
    <w:rsid w:val="00C346C4"/>
    <w:rsid w:val="00C358AC"/>
    <w:rsid w:val="00C35CD2"/>
    <w:rsid w:val="00C36317"/>
    <w:rsid w:val="00C37693"/>
    <w:rsid w:val="00C3796D"/>
    <w:rsid w:val="00C40AC8"/>
    <w:rsid w:val="00C42FFC"/>
    <w:rsid w:val="00C4302C"/>
    <w:rsid w:val="00C431E3"/>
    <w:rsid w:val="00C432F5"/>
    <w:rsid w:val="00C43598"/>
    <w:rsid w:val="00C43FB7"/>
    <w:rsid w:val="00C4646C"/>
    <w:rsid w:val="00C47337"/>
    <w:rsid w:val="00C47419"/>
    <w:rsid w:val="00C47C26"/>
    <w:rsid w:val="00C517EC"/>
    <w:rsid w:val="00C52110"/>
    <w:rsid w:val="00C523E2"/>
    <w:rsid w:val="00C5242E"/>
    <w:rsid w:val="00C52CCA"/>
    <w:rsid w:val="00C541D2"/>
    <w:rsid w:val="00C54646"/>
    <w:rsid w:val="00C5608D"/>
    <w:rsid w:val="00C56370"/>
    <w:rsid w:val="00C56960"/>
    <w:rsid w:val="00C571F6"/>
    <w:rsid w:val="00C57305"/>
    <w:rsid w:val="00C5751B"/>
    <w:rsid w:val="00C57D67"/>
    <w:rsid w:val="00C615C8"/>
    <w:rsid w:val="00C621BA"/>
    <w:rsid w:val="00C63FEE"/>
    <w:rsid w:val="00C6441F"/>
    <w:rsid w:val="00C64668"/>
    <w:rsid w:val="00C64915"/>
    <w:rsid w:val="00C64D52"/>
    <w:rsid w:val="00C65088"/>
    <w:rsid w:val="00C65181"/>
    <w:rsid w:val="00C65556"/>
    <w:rsid w:val="00C656FA"/>
    <w:rsid w:val="00C662C9"/>
    <w:rsid w:val="00C67146"/>
    <w:rsid w:val="00C67A10"/>
    <w:rsid w:val="00C67B98"/>
    <w:rsid w:val="00C70762"/>
    <w:rsid w:val="00C70B60"/>
    <w:rsid w:val="00C712DF"/>
    <w:rsid w:val="00C712FF"/>
    <w:rsid w:val="00C71F6E"/>
    <w:rsid w:val="00C71FB8"/>
    <w:rsid w:val="00C721B0"/>
    <w:rsid w:val="00C729F2"/>
    <w:rsid w:val="00C72B33"/>
    <w:rsid w:val="00C732DA"/>
    <w:rsid w:val="00C73543"/>
    <w:rsid w:val="00C7377E"/>
    <w:rsid w:val="00C73E77"/>
    <w:rsid w:val="00C742AD"/>
    <w:rsid w:val="00C74772"/>
    <w:rsid w:val="00C747CA"/>
    <w:rsid w:val="00C74B29"/>
    <w:rsid w:val="00C757C6"/>
    <w:rsid w:val="00C7582D"/>
    <w:rsid w:val="00C75A09"/>
    <w:rsid w:val="00C75B10"/>
    <w:rsid w:val="00C76A00"/>
    <w:rsid w:val="00C80BCE"/>
    <w:rsid w:val="00C81037"/>
    <w:rsid w:val="00C81723"/>
    <w:rsid w:val="00C82BCD"/>
    <w:rsid w:val="00C82D0D"/>
    <w:rsid w:val="00C83527"/>
    <w:rsid w:val="00C83FBF"/>
    <w:rsid w:val="00C843D8"/>
    <w:rsid w:val="00C84A92"/>
    <w:rsid w:val="00C85ED1"/>
    <w:rsid w:val="00C865CA"/>
    <w:rsid w:val="00C866DC"/>
    <w:rsid w:val="00C86F09"/>
    <w:rsid w:val="00C86F1E"/>
    <w:rsid w:val="00C87527"/>
    <w:rsid w:val="00C8782D"/>
    <w:rsid w:val="00C908F3"/>
    <w:rsid w:val="00C90A9A"/>
    <w:rsid w:val="00C90BBD"/>
    <w:rsid w:val="00C90F7E"/>
    <w:rsid w:val="00C917DF"/>
    <w:rsid w:val="00C9278A"/>
    <w:rsid w:val="00C936DC"/>
    <w:rsid w:val="00C93E4C"/>
    <w:rsid w:val="00C93EBE"/>
    <w:rsid w:val="00C94A80"/>
    <w:rsid w:val="00C94E77"/>
    <w:rsid w:val="00C9557E"/>
    <w:rsid w:val="00C95B50"/>
    <w:rsid w:val="00C95BCC"/>
    <w:rsid w:val="00C960D3"/>
    <w:rsid w:val="00C96481"/>
    <w:rsid w:val="00C9695D"/>
    <w:rsid w:val="00CA09C2"/>
    <w:rsid w:val="00CA09E7"/>
    <w:rsid w:val="00CA259B"/>
    <w:rsid w:val="00CA2874"/>
    <w:rsid w:val="00CA3369"/>
    <w:rsid w:val="00CA3F59"/>
    <w:rsid w:val="00CA406D"/>
    <w:rsid w:val="00CA4672"/>
    <w:rsid w:val="00CA4908"/>
    <w:rsid w:val="00CA505E"/>
    <w:rsid w:val="00CA511F"/>
    <w:rsid w:val="00CA519A"/>
    <w:rsid w:val="00CA5289"/>
    <w:rsid w:val="00CA5709"/>
    <w:rsid w:val="00CA62B2"/>
    <w:rsid w:val="00CA6A11"/>
    <w:rsid w:val="00CA7AC9"/>
    <w:rsid w:val="00CB0772"/>
    <w:rsid w:val="00CB0A68"/>
    <w:rsid w:val="00CB0F18"/>
    <w:rsid w:val="00CB1732"/>
    <w:rsid w:val="00CB1E40"/>
    <w:rsid w:val="00CB2AC8"/>
    <w:rsid w:val="00CB30DD"/>
    <w:rsid w:val="00CB32F7"/>
    <w:rsid w:val="00CB3578"/>
    <w:rsid w:val="00CB3579"/>
    <w:rsid w:val="00CB44D3"/>
    <w:rsid w:val="00CB4775"/>
    <w:rsid w:val="00CB60D6"/>
    <w:rsid w:val="00CB68E3"/>
    <w:rsid w:val="00CB6A42"/>
    <w:rsid w:val="00CB6C20"/>
    <w:rsid w:val="00CC026C"/>
    <w:rsid w:val="00CC08F5"/>
    <w:rsid w:val="00CC0991"/>
    <w:rsid w:val="00CC1167"/>
    <w:rsid w:val="00CC117D"/>
    <w:rsid w:val="00CC1879"/>
    <w:rsid w:val="00CC21EF"/>
    <w:rsid w:val="00CC2831"/>
    <w:rsid w:val="00CC28CA"/>
    <w:rsid w:val="00CC2E18"/>
    <w:rsid w:val="00CC3517"/>
    <w:rsid w:val="00CC3EFD"/>
    <w:rsid w:val="00CC417E"/>
    <w:rsid w:val="00CC430F"/>
    <w:rsid w:val="00CC498C"/>
    <w:rsid w:val="00CC4CC5"/>
    <w:rsid w:val="00CC5000"/>
    <w:rsid w:val="00CC6037"/>
    <w:rsid w:val="00CC63D5"/>
    <w:rsid w:val="00CC6A47"/>
    <w:rsid w:val="00CC72C8"/>
    <w:rsid w:val="00CD002C"/>
    <w:rsid w:val="00CD0B68"/>
    <w:rsid w:val="00CD0C1B"/>
    <w:rsid w:val="00CD0EF0"/>
    <w:rsid w:val="00CD2764"/>
    <w:rsid w:val="00CD2AF4"/>
    <w:rsid w:val="00CD3343"/>
    <w:rsid w:val="00CD353F"/>
    <w:rsid w:val="00CD3D03"/>
    <w:rsid w:val="00CD4D4E"/>
    <w:rsid w:val="00CD5B3C"/>
    <w:rsid w:val="00CD5BE1"/>
    <w:rsid w:val="00CD6617"/>
    <w:rsid w:val="00CD6660"/>
    <w:rsid w:val="00CD67F1"/>
    <w:rsid w:val="00CD7394"/>
    <w:rsid w:val="00CD76A5"/>
    <w:rsid w:val="00CE06EF"/>
    <w:rsid w:val="00CE092B"/>
    <w:rsid w:val="00CE138E"/>
    <w:rsid w:val="00CE1BCB"/>
    <w:rsid w:val="00CE1C3F"/>
    <w:rsid w:val="00CE2432"/>
    <w:rsid w:val="00CE2B85"/>
    <w:rsid w:val="00CE2CEF"/>
    <w:rsid w:val="00CE3AA7"/>
    <w:rsid w:val="00CE50BD"/>
    <w:rsid w:val="00CE59DF"/>
    <w:rsid w:val="00CE6105"/>
    <w:rsid w:val="00CE6E7E"/>
    <w:rsid w:val="00CE7474"/>
    <w:rsid w:val="00CE76F4"/>
    <w:rsid w:val="00CF010A"/>
    <w:rsid w:val="00CF0D80"/>
    <w:rsid w:val="00CF1643"/>
    <w:rsid w:val="00CF18B0"/>
    <w:rsid w:val="00CF1E7D"/>
    <w:rsid w:val="00CF1EA4"/>
    <w:rsid w:val="00CF2485"/>
    <w:rsid w:val="00CF2845"/>
    <w:rsid w:val="00CF285C"/>
    <w:rsid w:val="00CF285D"/>
    <w:rsid w:val="00CF31CC"/>
    <w:rsid w:val="00CF4067"/>
    <w:rsid w:val="00CF53F3"/>
    <w:rsid w:val="00CF547E"/>
    <w:rsid w:val="00CF5594"/>
    <w:rsid w:val="00CF5FDE"/>
    <w:rsid w:val="00CF648C"/>
    <w:rsid w:val="00CF65B9"/>
    <w:rsid w:val="00CF6603"/>
    <w:rsid w:val="00CF69C5"/>
    <w:rsid w:val="00CF7D73"/>
    <w:rsid w:val="00D004D9"/>
    <w:rsid w:val="00D00987"/>
    <w:rsid w:val="00D03248"/>
    <w:rsid w:val="00D03763"/>
    <w:rsid w:val="00D03913"/>
    <w:rsid w:val="00D046DF"/>
    <w:rsid w:val="00D0586D"/>
    <w:rsid w:val="00D05E2F"/>
    <w:rsid w:val="00D05F7C"/>
    <w:rsid w:val="00D066A4"/>
    <w:rsid w:val="00D066E8"/>
    <w:rsid w:val="00D0725D"/>
    <w:rsid w:val="00D07B4F"/>
    <w:rsid w:val="00D07FB0"/>
    <w:rsid w:val="00D100AB"/>
    <w:rsid w:val="00D10B67"/>
    <w:rsid w:val="00D11494"/>
    <w:rsid w:val="00D1153D"/>
    <w:rsid w:val="00D11BFE"/>
    <w:rsid w:val="00D124F4"/>
    <w:rsid w:val="00D1270F"/>
    <w:rsid w:val="00D132B1"/>
    <w:rsid w:val="00D13B5E"/>
    <w:rsid w:val="00D13FC2"/>
    <w:rsid w:val="00D1499B"/>
    <w:rsid w:val="00D14C4B"/>
    <w:rsid w:val="00D150E6"/>
    <w:rsid w:val="00D1519B"/>
    <w:rsid w:val="00D15499"/>
    <w:rsid w:val="00D1565F"/>
    <w:rsid w:val="00D15807"/>
    <w:rsid w:val="00D16526"/>
    <w:rsid w:val="00D17A46"/>
    <w:rsid w:val="00D17CAE"/>
    <w:rsid w:val="00D200D5"/>
    <w:rsid w:val="00D205FA"/>
    <w:rsid w:val="00D20AC1"/>
    <w:rsid w:val="00D21232"/>
    <w:rsid w:val="00D21736"/>
    <w:rsid w:val="00D21CA2"/>
    <w:rsid w:val="00D21D17"/>
    <w:rsid w:val="00D22E7A"/>
    <w:rsid w:val="00D24D18"/>
    <w:rsid w:val="00D26312"/>
    <w:rsid w:val="00D26419"/>
    <w:rsid w:val="00D26BA2"/>
    <w:rsid w:val="00D273DE"/>
    <w:rsid w:val="00D31226"/>
    <w:rsid w:val="00D31FEA"/>
    <w:rsid w:val="00D3265C"/>
    <w:rsid w:val="00D32F25"/>
    <w:rsid w:val="00D3342D"/>
    <w:rsid w:val="00D33802"/>
    <w:rsid w:val="00D33D97"/>
    <w:rsid w:val="00D342C8"/>
    <w:rsid w:val="00D34B7F"/>
    <w:rsid w:val="00D359D9"/>
    <w:rsid w:val="00D35BAA"/>
    <w:rsid w:val="00D360DF"/>
    <w:rsid w:val="00D36127"/>
    <w:rsid w:val="00D37310"/>
    <w:rsid w:val="00D400A9"/>
    <w:rsid w:val="00D405D9"/>
    <w:rsid w:val="00D42322"/>
    <w:rsid w:val="00D4249F"/>
    <w:rsid w:val="00D4250B"/>
    <w:rsid w:val="00D42B22"/>
    <w:rsid w:val="00D42BFA"/>
    <w:rsid w:val="00D42D39"/>
    <w:rsid w:val="00D43257"/>
    <w:rsid w:val="00D43670"/>
    <w:rsid w:val="00D44292"/>
    <w:rsid w:val="00D44462"/>
    <w:rsid w:val="00D44587"/>
    <w:rsid w:val="00D453E9"/>
    <w:rsid w:val="00D4626C"/>
    <w:rsid w:val="00D462BD"/>
    <w:rsid w:val="00D462CC"/>
    <w:rsid w:val="00D4632E"/>
    <w:rsid w:val="00D4695F"/>
    <w:rsid w:val="00D4723F"/>
    <w:rsid w:val="00D47564"/>
    <w:rsid w:val="00D47D25"/>
    <w:rsid w:val="00D50269"/>
    <w:rsid w:val="00D513BC"/>
    <w:rsid w:val="00D51D44"/>
    <w:rsid w:val="00D52539"/>
    <w:rsid w:val="00D5271B"/>
    <w:rsid w:val="00D52EB2"/>
    <w:rsid w:val="00D531F0"/>
    <w:rsid w:val="00D53201"/>
    <w:rsid w:val="00D5324B"/>
    <w:rsid w:val="00D5501D"/>
    <w:rsid w:val="00D550E6"/>
    <w:rsid w:val="00D55160"/>
    <w:rsid w:val="00D554F4"/>
    <w:rsid w:val="00D557ED"/>
    <w:rsid w:val="00D5648A"/>
    <w:rsid w:val="00D56625"/>
    <w:rsid w:val="00D5689B"/>
    <w:rsid w:val="00D56B30"/>
    <w:rsid w:val="00D60342"/>
    <w:rsid w:val="00D60466"/>
    <w:rsid w:val="00D62F32"/>
    <w:rsid w:val="00D63479"/>
    <w:rsid w:val="00D65150"/>
    <w:rsid w:val="00D6534E"/>
    <w:rsid w:val="00D65603"/>
    <w:rsid w:val="00D658AE"/>
    <w:rsid w:val="00D658D6"/>
    <w:rsid w:val="00D66558"/>
    <w:rsid w:val="00D6664A"/>
    <w:rsid w:val="00D70FF7"/>
    <w:rsid w:val="00D717A6"/>
    <w:rsid w:val="00D72F93"/>
    <w:rsid w:val="00D73006"/>
    <w:rsid w:val="00D7304F"/>
    <w:rsid w:val="00D733F3"/>
    <w:rsid w:val="00D7361F"/>
    <w:rsid w:val="00D744C7"/>
    <w:rsid w:val="00D74AC4"/>
    <w:rsid w:val="00D750FB"/>
    <w:rsid w:val="00D75151"/>
    <w:rsid w:val="00D753D3"/>
    <w:rsid w:val="00D76896"/>
    <w:rsid w:val="00D770C9"/>
    <w:rsid w:val="00D771A4"/>
    <w:rsid w:val="00D77597"/>
    <w:rsid w:val="00D77839"/>
    <w:rsid w:val="00D7798A"/>
    <w:rsid w:val="00D80CB0"/>
    <w:rsid w:val="00D80E7F"/>
    <w:rsid w:val="00D80E9D"/>
    <w:rsid w:val="00D81484"/>
    <w:rsid w:val="00D8157D"/>
    <w:rsid w:val="00D8201F"/>
    <w:rsid w:val="00D82627"/>
    <w:rsid w:val="00D82889"/>
    <w:rsid w:val="00D82BD9"/>
    <w:rsid w:val="00D82D41"/>
    <w:rsid w:val="00D8324C"/>
    <w:rsid w:val="00D8387B"/>
    <w:rsid w:val="00D83FDD"/>
    <w:rsid w:val="00D84450"/>
    <w:rsid w:val="00D84977"/>
    <w:rsid w:val="00D84F25"/>
    <w:rsid w:val="00D8584A"/>
    <w:rsid w:val="00D85CD8"/>
    <w:rsid w:val="00D86E20"/>
    <w:rsid w:val="00D8720A"/>
    <w:rsid w:val="00D873C3"/>
    <w:rsid w:val="00D876C1"/>
    <w:rsid w:val="00D9016E"/>
    <w:rsid w:val="00D90931"/>
    <w:rsid w:val="00D91130"/>
    <w:rsid w:val="00D9152D"/>
    <w:rsid w:val="00D91D93"/>
    <w:rsid w:val="00D91DB5"/>
    <w:rsid w:val="00D92A44"/>
    <w:rsid w:val="00D93592"/>
    <w:rsid w:val="00D93A6E"/>
    <w:rsid w:val="00D9422C"/>
    <w:rsid w:val="00D9497B"/>
    <w:rsid w:val="00D95116"/>
    <w:rsid w:val="00D9583D"/>
    <w:rsid w:val="00D9626E"/>
    <w:rsid w:val="00D96993"/>
    <w:rsid w:val="00D96D44"/>
    <w:rsid w:val="00D970A6"/>
    <w:rsid w:val="00D97F1F"/>
    <w:rsid w:val="00DA01A4"/>
    <w:rsid w:val="00DA0797"/>
    <w:rsid w:val="00DA0EA4"/>
    <w:rsid w:val="00DA0EF4"/>
    <w:rsid w:val="00DA1457"/>
    <w:rsid w:val="00DA193B"/>
    <w:rsid w:val="00DA1C0B"/>
    <w:rsid w:val="00DA27A7"/>
    <w:rsid w:val="00DA281A"/>
    <w:rsid w:val="00DA3137"/>
    <w:rsid w:val="00DA3629"/>
    <w:rsid w:val="00DA37BB"/>
    <w:rsid w:val="00DA3BDA"/>
    <w:rsid w:val="00DA3C5D"/>
    <w:rsid w:val="00DA3DE5"/>
    <w:rsid w:val="00DA3E45"/>
    <w:rsid w:val="00DA3F38"/>
    <w:rsid w:val="00DA408F"/>
    <w:rsid w:val="00DA4A98"/>
    <w:rsid w:val="00DA532E"/>
    <w:rsid w:val="00DA53E9"/>
    <w:rsid w:val="00DA551D"/>
    <w:rsid w:val="00DA565E"/>
    <w:rsid w:val="00DA5775"/>
    <w:rsid w:val="00DA5F08"/>
    <w:rsid w:val="00DA779D"/>
    <w:rsid w:val="00DB2462"/>
    <w:rsid w:val="00DB313B"/>
    <w:rsid w:val="00DB3172"/>
    <w:rsid w:val="00DB38D8"/>
    <w:rsid w:val="00DB3907"/>
    <w:rsid w:val="00DB3C88"/>
    <w:rsid w:val="00DB4398"/>
    <w:rsid w:val="00DB45C6"/>
    <w:rsid w:val="00DB50B1"/>
    <w:rsid w:val="00DB5D32"/>
    <w:rsid w:val="00DB5D67"/>
    <w:rsid w:val="00DB6647"/>
    <w:rsid w:val="00DB66CE"/>
    <w:rsid w:val="00DB741D"/>
    <w:rsid w:val="00DC0381"/>
    <w:rsid w:val="00DC038A"/>
    <w:rsid w:val="00DC09BB"/>
    <w:rsid w:val="00DC0C19"/>
    <w:rsid w:val="00DC2307"/>
    <w:rsid w:val="00DC2AB7"/>
    <w:rsid w:val="00DC346E"/>
    <w:rsid w:val="00DC4D9D"/>
    <w:rsid w:val="00DC5754"/>
    <w:rsid w:val="00DC5E32"/>
    <w:rsid w:val="00DC6006"/>
    <w:rsid w:val="00DC6670"/>
    <w:rsid w:val="00DC6EFB"/>
    <w:rsid w:val="00DC743A"/>
    <w:rsid w:val="00DC7A31"/>
    <w:rsid w:val="00DD0195"/>
    <w:rsid w:val="00DD1BE9"/>
    <w:rsid w:val="00DD335A"/>
    <w:rsid w:val="00DD48D9"/>
    <w:rsid w:val="00DD52D7"/>
    <w:rsid w:val="00DD60AF"/>
    <w:rsid w:val="00DD73DA"/>
    <w:rsid w:val="00DD779D"/>
    <w:rsid w:val="00DD7F58"/>
    <w:rsid w:val="00DE06AD"/>
    <w:rsid w:val="00DE0857"/>
    <w:rsid w:val="00DE13D5"/>
    <w:rsid w:val="00DE1540"/>
    <w:rsid w:val="00DE1AC3"/>
    <w:rsid w:val="00DE25C9"/>
    <w:rsid w:val="00DE2A5B"/>
    <w:rsid w:val="00DE43E9"/>
    <w:rsid w:val="00DE4CEC"/>
    <w:rsid w:val="00DE593B"/>
    <w:rsid w:val="00DE5A83"/>
    <w:rsid w:val="00DE5B9F"/>
    <w:rsid w:val="00DE61CE"/>
    <w:rsid w:val="00DE6950"/>
    <w:rsid w:val="00DE699A"/>
    <w:rsid w:val="00DE6D06"/>
    <w:rsid w:val="00DE71DC"/>
    <w:rsid w:val="00DE7C33"/>
    <w:rsid w:val="00DE7D7E"/>
    <w:rsid w:val="00DF0975"/>
    <w:rsid w:val="00DF0EF9"/>
    <w:rsid w:val="00DF0F9E"/>
    <w:rsid w:val="00DF118A"/>
    <w:rsid w:val="00DF1281"/>
    <w:rsid w:val="00DF199B"/>
    <w:rsid w:val="00DF1E2D"/>
    <w:rsid w:val="00DF201C"/>
    <w:rsid w:val="00DF255E"/>
    <w:rsid w:val="00DF4450"/>
    <w:rsid w:val="00DF4A0B"/>
    <w:rsid w:val="00DF4C20"/>
    <w:rsid w:val="00DF4C7C"/>
    <w:rsid w:val="00DF5633"/>
    <w:rsid w:val="00DF6058"/>
    <w:rsid w:val="00DF6266"/>
    <w:rsid w:val="00DF6787"/>
    <w:rsid w:val="00DF79C3"/>
    <w:rsid w:val="00DF7C4C"/>
    <w:rsid w:val="00DF7EB3"/>
    <w:rsid w:val="00E00DBE"/>
    <w:rsid w:val="00E01461"/>
    <w:rsid w:val="00E01B92"/>
    <w:rsid w:val="00E02049"/>
    <w:rsid w:val="00E02DFC"/>
    <w:rsid w:val="00E035A8"/>
    <w:rsid w:val="00E03CCB"/>
    <w:rsid w:val="00E03E48"/>
    <w:rsid w:val="00E03E6C"/>
    <w:rsid w:val="00E03F2C"/>
    <w:rsid w:val="00E045FA"/>
    <w:rsid w:val="00E04AA5"/>
    <w:rsid w:val="00E0573F"/>
    <w:rsid w:val="00E05F25"/>
    <w:rsid w:val="00E065EA"/>
    <w:rsid w:val="00E067DF"/>
    <w:rsid w:val="00E068F1"/>
    <w:rsid w:val="00E070DE"/>
    <w:rsid w:val="00E075F2"/>
    <w:rsid w:val="00E10636"/>
    <w:rsid w:val="00E10A17"/>
    <w:rsid w:val="00E10C6F"/>
    <w:rsid w:val="00E11966"/>
    <w:rsid w:val="00E12206"/>
    <w:rsid w:val="00E12E73"/>
    <w:rsid w:val="00E13333"/>
    <w:rsid w:val="00E13CE9"/>
    <w:rsid w:val="00E14ACF"/>
    <w:rsid w:val="00E1538E"/>
    <w:rsid w:val="00E1543D"/>
    <w:rsid w:val="00E15E63"/>
    <w:rsid w:val="00E1637B"/>
    <w:rsid w:val="00E1689F"/>
    <w:rsid w:val="00E16B5C"/>
    <w:rsid w:val="00E16CAC"/>
    <w:rsid w:val="00E17789"/>
    <w:rsid w:val="00E17D20"/>
    <w:rsid w:val="00E2017B"/>
    <w:rsid w:val="00E20706"/>
    <w:rsid w:val="00E20D20"/>
    <w:rsid w:val="00E21234"/>
    <w:rsid w:val="00E212D0"/>
    <w:rsid w:val="00E246DB"/>
    <w:rsid w:val="00E25241"/>
    <w:rsid w:val="00E2797A"/>
    <w:rsid w:val="00E30460"/>
    <w:rsid w:val="00E30D7D"/>
    <w:rsid w:val="00E314E7"/>
    <w:rsid w:val="00E31E1A"/>
    <w:rsid w:val="00E31F40"/>
    <w:rsid w:val="00E321FA"/>
    <w:rsid w:val="00E33245"/>
    <w:rsid w:val="00E33CB9"/>
    <w:rsid w:val="00E340C0"/>
    <w:rsid w:val="00E34239"/>
    <w:rsid w:val="00E3423F"/>
    <w:rsid w:val="00E343BD"/>
    <w:rsid w:val="00E3467A"/>
    <w:rsid w:val="00E35A26"/>
    <w:rsid w:val="00E36B2F"/>
    <w:rsid w:val="00E377D8"/>
    <w:rsid w:val="00E408DB"/>
    <w:rsid w:val="00E40900"/>
    <w:rsid w:val="00E419F2"/>
    <w:rsid w:val="00E423DD"/>
    <w:rsid w:val="00E43219"/>
    <w:rsid w:val="00E4357B"/>
    <w:rsid w:val="00E43707"/>
    <w:rsid w:val="00E43C1B"/>
    <w:rsid w:val="00E43D4D"/>
    <w:rsid w:val="00E44342"/>
    <w:rsid w:val="00E4441F"/>
    <w:rsid w:val="00E44EE4"/>
    <w:rsid w:val="00E4542B"/>
    <w:rsid w:val="00E47725"/>
    <w:rsid w:val="00E47D3E"/>
    <w:rsid w:val="00E5080E"/>
    <w:rsid w:val="00E50C8F"/>
    <w:rsid w:val="00E50CF3"/>
    <w:rsid w:val="00E517C8"/>
    <w:rsid w:val="00E527E7"/>
    <w:rsid w:val="00E532E4"/>
    <w:rsid w:val="00E53BC5"/>
    <w:rsid w:val="00E53C5E"/>
    <w:rsid w:val="00E5417F"/>
    <w:rsid w:val="00E5448C"/>
    <w:rsid w:val="00E5470D"/>
    <w:rsid w:val="00E55450"/>
    <w:rsid w:val="00E56139"/>
    <w:rsid w:val="00E572CA"/>
    <w:rsid w:val="00E5755D"/>
    <w:rsid w:val="00E576CE"/>
    <w:rsid w:val="00E57F7A"/>
    <w:rsid w:val="00E602B8"/>
    <w:rsid w:val="00E60952"/>
    <w:rsid w:val="00E60FAD"/>
    <w:rsid w:val="00E614EE"/>
    <w:rsid w:val="00E62566"/>
    <w:rsid w:val="00E62E97"/>
    <w:rsid w:val="00E62EEA"/>
    <w:rsid w:val="00E6337C"/>
    <w:rsid w:val="00E636C7"/>
    <w:rsid w:val="00E63933"/>
    <w:rsid w:val="00E63E2E"/>
    <w:rsid w:val="00E647E9"/>
    <w:rsid w:val="00E64A0A"/>
    <w:rsid w:val="00E64B30"/>
    <w:rsid w:val="00E651A1"/>
    <w:rsid w:val="00E65221"/>
    <w:rsid w:val="00E6567F"/>
    <w:rsid w:val="00E66730"/>
    <w:rsid w:val="00E66FC1"/>
    <w:rsid w:val="00E670C2"/>
    <w:rsid w:val="00E67539"/>
    <w:rsid w:val="00E7153E"/>
    <w:rsid w:val="00E71F1E"/>
    <w:rsid w:val="00E72C3C"/>
    <w:rsid w:val="00E731B1"/>
    <w:rsid w:val="00E73AB7"/>
    <w:rsid w:val="00E7418B"/>
    <w:rsid w:val="00E742B9"/>
    <w:rsid w:val="00E74A7C"/>
    <w:rsid w:val="00E7520D"/>
    <w:rsid w:val="00E7535E"/>
    <w:rsid w:val="00E75EBB"/>
    <w:rsid w:val="00E766D4"/>
    <w:rsid w:val="00E7685E"/>
    <w:rsid w:val="00E8023E"/>
    <w:rsid w:val="00E80295"/>
    <w:rsid w:val="00E80607"/>
    <w:rsid w:val="00E807EB"/>
    <w:rsid w:val="00E80A67"/>
    <w:rsid w:val="00E81602"/>
    <w:rsid w:val="00E81CCA"/>
    <w:rsid w:val="00E81E01"/>
    <w:rsid w:val="00E82948"/>
    <w:rsid w:val="00E82DC2"/>
    <w:rsid w:val="00E83311"/>
    <w:rsid w:val="00E8344A"/>
    <w:rsid w:val="00E83905"/>
    <w:rsid w:val="00E83C5F"/>
    <w:rsid w:val="00E83CAF"/>
    <w:rsid w:val="00E848F3"/>
    <w:rsid w:val="00E851AB"/>
    <w:rsid w:val="00E853B2"/>
    <w:rsid w:val="00E854FB"/>
    <w:rsid w:val="00E85C9B"/>
    <w:rsid w:val="00E85D98"/>
    <w:rsid w:val="00E866EA"/>
    <w:rsid w:val="00E86AB0"/>
    <w:rsid w:val="00E86AE1"/>
    <w:rsid w:val="00E909C5"/>
    <w:rsid w:val="00E90A7C"/>
    <w:rsid w:val="00E90CBC"/>
    <w:rsid w:val="00E912E6"/>
    <w:rsid w:val="00E916B8"/>
    <w:rsid w:val="00E91A7F"/>
    <w:rsid w:val="00E923C7"/>
    <w:rsid w:val="00E92AD0"/>
    <w:rsid w:val="00E92B3F"/>
    <w:rsid w:val="00E92FE3"/>
    <w:rsid w:val="00E94E5C"/>
    <w:rsid w:val="00E95093"/>
    <w:rsid w:val="00E95EBF"/>
    <w:rsid w:val="00E96A09"/>
    <w:rsid w:val="00E974EB"/>
    <w:rsid w:val="00E97695"/>
    <w:rsid w:val="00E976AD"/>
    <w:rsid w:val="00E978BC"/>
    <w:rsid w:val="00E97D31"/>
    <w:rsid w:val="00EA06F1"/>
    <w:rsid w:val="00EA1781"/>
    <w:rsid w:val="00EA22B3"/>
    <w:rsid w:val="00EA30B3"/>
    <w:rsid w:val="00EA4A7A"/>
    <w:rsid w:val="00EA544B"/>
    <w:rsid w:val="00EA5BD9"/>
    <w:rsid w:val="00EA6358"/>
    <w:rsid w:val="00EA6788"/>
    <w:rsid w:val="00EA6E0C"/>
    <w:rsid w:val="00EA769D"/>
    <w:rsid w:val="00EB073A"/>
    <w:rsid w:val="00EB07AF"/>
    <w:rsid w:val="00EB18D5"/>
    <w:rsid w:val="00EB1B3C"/>
    <w:rsid w:val="00EB21F4"/>
    <w:rsid w:val="00EB33EC"/>
    <w:rsid w:val="00EB3778"/>
    <w:rsid w:val="00EB3C09"/>
    <w:rsid w:val="00EB3DE2"/>
    <w:rsid w:val="00EB420B"/>
    <w:rsid w:val="00EB43BD"/>
    <w:rsid w:val="00EB5C05"/>
    <w:rsid w:val="00EB6272"/>
    <w:rsid w:val="00EB668F"/>
    <w:rsid w:val="00EB6EEC"/>
    <w:rsid w:val="00EB7005"/>
    <w:rsid w:val="00EB7547"/>
    <w:rsid w:val="00EB793A"/>
    <w:rsid w:val="00EC0186"/>
    <w:rsid w:val="00EC0C2B"/>
    <w:rsid w:val="00EC1777"/>
    <w:rsid w:val="00EC2383"/>
    <w:rsid w:val="00EC28AB"/>
    <w:rsid w:val="00EC3E19"/>
    <w:rsid w:val="00EC4B14"/>
    <w:rsid w:val="00EC4E52"/>
    <w:rsid w:val="00EC5024"/>
    <w:rsid w:val="00EC5BCB"/>
    <w:rsid w:val="00EC7220"/>
    <w:rsid w:val="00EC7302"/>
    <w:rsid w:val="00EC73C4"/>
    <w:rsid w:val="00EC797C"/>
    <w:rsid w:val="00ED041B"/>
    <w:rsid w:val="00ED0CC3"/>
    <w:rsid w:val="00ED16F4"/>
    <w:rsid w:val="00ED267F"/>
    <w:rsid w:val="00ED2954"/>
    <w:rsid w:val="00ED2DB7"/>
    <w:rsid w:val="00ED33CC"/>
    <w:rsid w:val="00ED40B5"/>
    <w:rsid w:val="00ED444D"/>
    <w:rsid w:val="00ED548B"/>
    <w:rsid w:val="00ED5874"/>
    <w:rsid w:val="00ED5C02"/>
    <w:rsid w:val="00ED67BD"/>
    <w:rsid w:val="00ED73BB"/>
    <w:rsid w:val="00EE076E"/>
    <w:rsid w:val="00EE07FF"/>
    <w:rsid w:val="00EE0950"/>
    <w:rsid w:val="00EE1502"/>
    <w:rsid w:val="00EE1643"/>
    <w:rsid w:val="00EE1B6C"/>
    <w:rsid w:val="00EE249C"/>
    <w:rsid w:val="00EE38D7"/>
    <w:rsid w:val="00EE38E7"/>
    <w:rsid w:val="00EE5452"/>
    <w:rsid w:val="00EE59DE"/>
    <w:rsid w:val="00EE6981"/>
    <w:rsid w:val="00EE75FD"/>
    <w:rsid w:val="00EE7EFC"/>
    <w:rsid w:val="00EE7F94"/>
    <w:rsid w:val="00EF155D"/>
    <w:rsid w:val="00EF34CA"/>
    <w:rsid w:val="00EF366C"/>
    <w:rsid w:val="00EF3D73"/>
    <w:rsid w:val="00EF5F75"/>
    <w:rsid w:val="00EF74F9"/>
    <w:rsid w:val="00EF794C"/>
    <w:rsid w:val="00EF7C60"/>
    <w:rsid w:val="00F00F67"/>
    <w:rsid w:val="00F01AFB"/>
    <w:rsid w:val="00F023E8"/>
    <w:rsid w:val="00F02502"/>
    <w:rsid w:val="00F027DF"/>
    <w:rsid w:val="00F03822"/>
    <w:rsid w:val="00F03B3A"/>
    <w:rsid w:val="00F043EE"/>
    <w:rsid w:val="00F044B5"/>
    <w:rsid w:val="00F04846"/>
    <w:rsid w:val="00F04D2A"/>
    <w:rsid w:val="00F05700"/>
    <w:rsid w:val="00F05F8A"/>
    <w:rsid w:val="00F0641A"/>
    <w:rsid w:val="00F066C6"/>
    <w:rsid w:val="00F06C41"/>
    <w:rsid w:val="00F077AB"/>
    <w:rsid w:val="00F079C2"/>
    <w:rsid w:val="00F07B6F"/>
    <w:rsid w:val="00F108AA"/>
    <w:rsid w:val="00F10921"/>
    <w:rsid w:val="00F12617"/>
    <w:rsid w:val="00F128D4"/>
    <w:rsid w:val="00F12DC2"/>
    <w:rsid w:val="00F12E37"/>
    <w:rsid w:val="00F12FCC"/>
    <w:rsid w:val="00F1313D"/>
    <w:rsid w:val="00F136A5"/>
    <w:rsid w:val="00F138D8"/>
    <w:rsid w:val="00F14195"/>
    <w:rsid w:val="00F1436C"/>
    <w:rsid w:val="00F1468E"/>
    <w:rsid w:val="00F15511"/>
    <w:rsid w:val="00F1596A"/>
    <w:rsid w:val="00F160DF"/>
    <w:rsid w:val="00F16BEA"/>
    <w:rsid w:val="00F177E3"/>
    <w:rsid w:val="00F20C2B"/>
    <w:rsid w:val="00F20E11"/>
    <w:rsid w:val="00F21135"/>
    <w:rsid w:val="00F21864"/>
    <w:rsid w:val="00F223DA"/>
    <w:rsid w:val="00F22A04"/>
    <w:rsid w:val="00F23424"/>
    <w:rsid w:val="00F247E6"/>
    <w:rsid w:val="00F25D7C"/>
    <w:rsid w:val="00F25E63"/>
    <w:rsid w:val="00F265D0"/>
    <w:rsid w:val="00F26F6A"/>
    <w:rsid w:val="00F27241"/>
    <w:rsid w:val="00F27468"/>
    <w:rsid w:val="00F302B9"/>
    <w:rsid w:val="00F30B07"/>
    <w:rsid w:val="00F30DEB"/>
    <w:rsid w:val="00F30FCD"/>
    <w:rsid w:val="00F31521"/>
    <w:rsid w:val="00F31692"/>
    <w:rsid w:val="00F31B07"/>
    <w:rsid w:val="00F326B6"/>
    <w:rsid w:val="00F32C8F"/>
    <w:rsid w:val="00F334DC"/>
    <w:rsid w:val="00F337D7"/>
    <w:rsid w:val="00F3391E"/>
    <w:rsid w:val="00F33F69"/>
    <w:rsid w:val="00F33FEA"/>
    <w:rsid w:val="00F345D2"/>
    <w:rsid w:val="00F349CB"/>
    <w:rsid w:val="00F34A38"/>
    <w:rsid w:val="00F35409"/>
    <w:rsid w:val="00F354C9"/>
    <w:rsid w:val="00F368B6"/>
    <w:rsid w:val="00F36A11"/>
    <w:rsid w:val="00F36C90"/>
    <w:rsid w:val="00F36D83"/>
    <w:rsid w:val="00F3776C"/>
    <w:rsid w:val="00F4013A"/>
    <w:rsid w:val="00F40694"/>
    <w:rsid w:val="00F42A43"/>
    <w:rsid w:val="00F42BC0"/>
    <w:rsid w:val="00F437E7"/>
    <w:rsid w:val="00F43FE8"/>
    <w:rsid w:val="00F45965"/>
    <w:rsid w:val="00F465A4"/>
    <w:rsid w:val="00F47E15"/>
    <w:rsid w:val="00F47FDF"/>
    <w:rsid w:val="00F50F32"/>
    <w:rsid w:val="00F5110D"/>
    <w:rsid w:val="00F51233"/>
    <w:rsid w:val="00F517A3"/>
    <w:rsid w:val="00F5187D"/>
    <w:rsid w:val="00F52796"/>
    <w:rsid w:val="00F52EA7"/>
    <w:rsid w:val="00F53716"/>
    <w:rsid w:val="00F53A5A"/>
    <w:rsid w:val="00F54BE6"/>
    <w:rsid w:val="00F550AE"/>
    <w:rsid w:val="00F553CD"/>
    <w:rsid w:val="00F55F6C"/>
    <w:rsid w:val="00F5609C"/>
    <w:rsid w:val="00F561CD"/>
    <w:rsid w:val="00F56228"/>
    <w:rsid w:val="00F571C1"/>
    <w:rsid w:val="00F577C7"/>
    <w:rsid w:val="00F57822"/>
    <w:rsid w:val="00F60331"/>
    <w:rsid w:val="00F606F2"/>
    <w:rsid w:val="00F609D9"/>
    <w:rsid w:val="00F62B53"/>
    <w:rsid w:val="00F62CBF"/>
    <w:rsid w:val="00F6437F"/>
    <w:rsid w:val="00F644CB"/>
    <w:rsid w:val="00F65E3C"/>
    <w:rsid w:val="00F65E8D"/>
    <w:rsid w:val="00F66838"/>
    <w:rsid w:val="00F66CB9"/>
    <w:rsid w:val="00F671F0"/>
    <w:rsid w:val="00F67F1F"/>
    <w:rsid w:val="00F7012E"/>
    <w:rsid w:val="00F70695"/>
    <w:rsid w:val="00F70D7E"/>
    <w:rsid w:val="00F711A2"/>
    <w:rsid w:val="00F718A1"/>
    <w:rsid w:val="00F734A5"/>
    <w:rsid w:val="00F739C8"/>
    <w:rsid w:val="00F73F58"/>
    <w:rsid w:val="00F74642"/>
    <w:rsid w:val="00F75F30"/>
    <w:rsid w:val="00F75FF6"/>
    <w:rsid w:val="00F75FF9"/>
    <w:rsid w:val="00F765FE"/>
    <w:rsid w:val="00F76803"/>
    <w:rsid w:val="00F7689F"/>
    <w:rsid w:val="00F76C50"/>
    <w:rsid w:val="00F803BE"/>
    <w:rsid w:val="00F8331A"/>
    <w:rsid w:val="00F835E0"/>
    <w:rsid w:val="00F8374B"/>
    <w:rsid w:val="00F83D30"/>
    <w:rsid w:val="00F83DDB"/>
    <w:rsid w:val="00F84499"/>
    <w:rsid w:val="00F8467E"/>
    <w:rsid w:val="00F84965"/>
    <w:rsid w:val="00F849FA"/>
    <w:rsid w:val="00F85299"/>
    <w:rsid w:val="00F85976"/>
    <w:rsid w:val="00F859E5"/>
    <w:rsid w:val="00F868BA"/>
    <w:rsid w:val="00F869B6"/>
    <w:rsid w:val="00F86CE6"/>
    <w:rsid w:val="00F86F42"/>
    <w:rsid w:val="00F876A0"/>
    <w:rsid w:val="00F87783"/>
    <w:rsid w:val="00F90515"/>
    <w:rsid w:val="00F919B9"/>
    <w:rsid w:val="00F92025"/>
    <w:rsid w:val="00F925F8"/>
    <w:rsid w:val="00F928DB"/>
    <w:rsid w:val="00F92B1B"/>
    <w:rsid w:val="00F937D3"/>
    <w:rsid w:val="00F94113"/>
    <w:rsid w:val="00F9451B"/>
    <w:rsid w:val="00F95391"/>
    <w:rsid w:val="00F95DB3"/>
    <w:rsid w:val="00F9699A"/>
    <w:rsid w:val="00F979B7"/>
    <w:rsid w:val="00F97E39"/>
    <w:rsid w:val="00FA03E1"/>
    <w:rsid w:val="00FA07B0"/>
    <w:rsid w:val="00FA0AAE"/>
    <w:rsid w:val="00FA1345"/>
    <w:rsid w:val="00FA241B"/>
    <w:rsid w:val="00FA2B04"/>
    <w:rsid w:val="00FA3ECB"/>
    <w:rsid w:val="00FA4115"/>
    <w:rsid w:val="00FA4485"/>
    <w:rsid w:val="00FA496F"/>
    <w:rsid w:val="00FA49F2"/>
    <w:rsid w:val="00FA525D"/>
    <w:rsid w:val="00FA60B6"/>
    <w:rsid w:val="00FA62E0"/>
    <w:rsid w:val="00FA636E"/>
    <w:rsid w:val="00FA6ABF"/>
    <w:rsid w:val="00FA7281"/>
    <w:rsid w:val="00FB029F"/>
    <w:rsid w:val="00FB0D70"/>
    <w:rsid w:val="00FB1A91"/>
    <w:rsid w:val="00FB241F"/>
    <w:rsid w:val="00FB3A04"/>
    <w:rsid w:val="00FB3A69"/>
    <w:rsid w:val="00FB4096"/>
    <w:rsid w:val="00FB4838"/>
    <w:rsid w:val="00FB4D79"/>
    <w:rsid w:val="00FB5079"/>
    <w:rsid w:val="00FB6560"/>
    <w:rsid w:val="00FB6CE4"/>
    <w:rsid w:val="00FB75B5"/>
    <w:rsid w:val="00FB7642"/>
    <w:rsid w:val="00FB7E90"/>
    <w:rsid w:val="00FB7EB6"/>
    <w:rsid w:val="00FC017C"/>
    <w:rsid w:val="00FC069F"/>
    <w:rsid w:val="00FC13BC"/>
    <w:rsid w:val="00FC14CD"/>
    <w:rsid w:val="00FC1614"/>
    <w:rsid w:val="00FC1696"/>
    <w:rsid w:val="00FC2210"/>
    <w:rsid w:val="00FC3A96"/>
    <w:rsid w:val="00FC4108"/>
    <w:rsid w:val="00FC4400"/>
    <w:rsid w:val="00FC502D"/>
    <w:rsid w:val="00FC5658"/>
    <w:rsid w:val="00FC5AA5"/>
    <w:rsid w:val="00FC6354"/>
    <w:rsid w:val="00FC6995"/>
    <w:rsid w:val="00FC7244"/>
    <w:rsid w:val="00FC76E9"/>
    <w:rsid w:val="00FC7DCB"/>
    <w:rsid w:val="00FD0152"/>
    <w:rsid w:val="00FD09D0"/>
    <w:rsid w:val="00FD0AAD"/>
    <w:rsid w:val="00FD2719"/>
    <w:rsid w:val="00FD33DB"/>
    <w:rsid w:val="00FD3549"/>
    <w:rsid w:val="00FD5200"/>
    <w:rsid w:val="00FD52B3"/>
    <w:rsid w:val="00FD5C90"/>
    <w:rsid w:val="00FD5DB7"/>
    <w:rsid w:val="00FD6525"/>
    <w:rsid w:val="00FD6938"/>
    <w:rsid w:val="00FD77B8"/>
    <w:rsid w:val="00FE08AE"/>
    <w:rsid w:val="00FE0C99"/>
    <w:rsid w:val="00FE130E"/>
    <w:rsid w:val="00FE265B"/>
    <w:rsid w:val="00FE2DB8"/>
    <w:rsid w:val="00FE2E74"/>
    <w:rsid w:val="00FE2E7B"/>
    <w:rsid w:val="00FE2FB8"/>
    <w:rsid w:val="00FE40E7"/>
    <w:rsid w:val="00FE4E88"/>
    <w:rsid w:val="00FE4EAA"/>
    <w:rsid w:val="00FE510C"/>
    <w:rsid w:val="00FE5539"/>
    <w:rsid w:val="00FE5D31"/>
    <w:rsid w:val="00FE5E73"/>
    <w:rsid w:val="00FE690E"/>
    <w:rsid w:val="00FE69C5"/>
    <w:rsid w:val="00FE7099"/>
    <w:rsid w:val="00FE79E2"/>
    <w:rsid w:val="00FF0BCA"/>
    <w:rsid w:val="00FF0DAF"/>
    <w:rsid w:val="00FF0DE5"/>
    <w:rsid w:val="00FF151F"/>
    <w:rsid w:val="00FF16EF"/>
    <w:rsid w:val="00FF1A41"/>
    <w:rsid w:val="00FF2855"/>
    <w:rsid w:val="00FF357A"/>
    <w:rsid w:val="00FF37B3"/>
    <w:rsid w:val="00FF38A3"/>
    <w:rsid w:val="00FF3A07"/>
    <w:rsid w:val="00FF4851"/>
    <w:rsid w:val="00FF4BEE"/>
    <w:rsid w:val="00FF76CE"/>
    <w:rsid w:val="00FF7978"/>
    <w:rsid w:val="00FF79AE"/>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41D99D7"/>
  <w15:docId w15:val="{87DFAC67-32DE-4E68-BDED-70BB33C7D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 w:type="character" w:styleId="PlaceholderText">
    <w:name w:val="Placeholder Text"/>
    <w:basedOn w:val="DefaultParagraphFont"/>
    <w:uiPriority w:val="99"/>
    <w:semiHidden/>
    <w:rsid w:val="00CF559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96346">
      <w:bodyDiv w:val="1"/>
      <w:marLeft w:val="0"/>
      <w:marRight w:val="0"/>
      <w:marTop w:val="0"/>
      <w:marBottom w:val="0"/>
      <w:divBdr>
        <w:top w:val="none" w:sz="0" w:space="0" w:color="auto"/>
        <w:left w:val="none" w:sz="0" w:space="0" w:color="auto"/>
        <w:bottom w:val="none" w:sz="0" w:space="0" w:color="auto"/>
        <w:right w:val="none" w:sz="0" w:space="0" w:color="auto"/>
      </w:divBdr>
    </w:div>
    <w:div w:id="23871580">
      <w:bodyDiv w:val="1"/>
      <w:marLeft w:val="0"/>
      <w:marRight w:val="0"/>
      <w:marTop w:val="0"/>
      <w:marBottom w:val="0"/>
      <w:divBdr>
        <w:top w:val="none" w:sz="0" w:space="0" w:color="auto"/>
        <w:left w:val="none" w:sz="0" w:space="0" w:color="auto"/>
        <w:bottom w:val="none" w:sz="0" w:space="0" w:color="auto"/>
        <w:right w:val="none" w:sz="0" w:space="0" w:color="auto"/>
      </w:divBdr>
    </w:div>
    <w:div w:id="26612986">
      <w:bodyDiv w:val="1"/>
      <w:marLeft w:val="0"/>
      <w:marRight w:val="0"/>
      <w:marTop w:val="0"/>
      <w:marBottom w:val="0"/>
      <w:divBdr>
        <w:top w:val="none" w:sz="0" w:space="0" w:color="auto"/>
        <w:left w:val="none" w:sz="0" w:space="0" w:color="auto"/>
        <w:bottom w:val="none" w:sz="0" w:space="0" w:color="auto"/>
        <w:right w:val="none" w:sz="0" w:space="0" w:color="auto"/>
      </w:divBdr>
    </w:div>
    <w:div w:id="27418258">
      <w:bodyDiv w:val="1"/>
      <w:marLeft w:val="0"/>
      <w:marRight w:val="0"/>
      <w:marTop w:val="0"/>
      <w:marBottom w:val="0"/>
      <w:divBdr>
        <w:top w:val="none" w:sz="0" w:space="0" w:color="auto"/>
        <w:left w:val="none" w:sz="0" w:space="0" w:color="auto"/>
        <w:bottom w:val="none" w:sz="0" w:space="0" w:color="auto"/>
        <w:right w:val="none" w:sz="0" w:space="0" w:color="auto"/>
      </w:divBdr>
    </w:div>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28263751">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87701565">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11100306">
      <w:bodyDiv w:val="1"/>
      <w:marLeft w:val="0"/>
      <w:marRight w:val="0"/>
      <w:marTop w:val="0"/>
      <w:marBottom w:val="0"/>
      <w:divBdr>
        <w:top w:val="none" w:sz="0" w:space="0" w:color="auto"/>
        <w:left w:val="none" w:sz="0" w:space="0" w:color="auto"/>
        <w:bottom w:val="none" w:sz="0" w:space="0" w:color="auto"/>
        <w:right w:val="none" w:sz="0" w:space="0" w:color="auto"/>
      </w:divBdr>
    </w:div>
    <w:div w:id="139731057">
      <w:bodyDiv w:val="1"/>
      <w:marLeft w:val="0"/>
      <w:marRight w:val="0"/>
      <w:marTop w:val="0"/>
      <w:marBottom w:val="0"/>
      <w:divBdr>
        <w:top w:val="none" w:sz="0" w:space="0" w:color="auto"/>
        <w:left w:val="none" w:sz="0" w:space="0" w:color="auto"/>
        <w:bottom w:val="none" w:sz="0" w:space="0" w:color="auto"/>
        <w:right w:val="none" w:sz="0" w:space="0" w:color="auto"/>
      </w:divBdr>
    </w:div>
    <w:div w:id="144245911">
      <w:bodyDiv w:val="1"/>
      <w:marLeft w:val="0"/>
      <w:marRight w:val="0"/>
      <w:marTop w:val="0"/>
      <w:marBottom w:val="0"/>
      <w:divBdr>
        <w:top w:val="none" w:sz="0" w:space="0" w:color="auto"/>
        <w:left w:val="none" w:sz="0" w:space="0" w:color="auto"/>
        <w:bottom w:val="none" w:sz="0" w:space="0" w:color="auto"/>
        <w:right w:val="none" w:sz="0" w:space="0" w:color="auto"/>
      </w:divBdr>
      <w:divsChild>
        <w:div w:id="397748003">
          <w:marLeft w:val="547"/>
          <w:marRight w:val="0"/>
          <w:marTop w:val="96"/>
          <w:marBottom w:val="0"/>
          <w:divBdr>
            <w:top w:val="none" w:sz="0" w:space="0" w:color="auto"/>
            <w:left w:val="none" w:sz="0" w:space="0" w:color="auto"/>
            <w:bottom w:val="none" w:sz="0" w:space="0" w:color="auto"/>
            <w:right w:val="none" w:sz="0" w:space="0" w:color="auto"/>
          </w:divBdr>
        </w:div>
        <w:div w:id="694767801">
          <w:marLeft w:val="1166"/>
          <w:marRight w:val="0"/>
          <w:marTop w:val="86"/>
          <w:marBottom w:val="0"/>
          <w:divBdr>
            <w:top w:val="none" w:sz="0" w:space="0" w:color="auto"/>
            <w:left w:val="none" w:sz="0" w:space="0" w:color="auto"/>
            <w:bottom w:val="none" w:sz="0" w:space="0" w:color="auto"/>
            <w:right w:val="none" w:sz="0" w:space="0" w:color="auto"/>
          </w:divBdr>
        </w:div>
        <w:div w:id="1434593408">
          <w:marLeft w:val="1166"/>
          <w:marRight w:val="0"/>
          <w:marTop w:val="86"/>
          <w:marBottom w:val="0"/>
          <w:divBdr>
            <w:top w:val="none" w:sz="0" w:space="0" w:color="auto"/>
            <w:left w:val="none" w:sz="0" w:space="0" w:color="auto"/>
            <w:bottom w:val="none" w:sz="0" w:space="0" w:color="auto"/>
            <w:right w:val="none" w:sz="0" w:space="0" w:color="auto"/>
          </w:divBdr>
        </w:div>
        <w:div w:id="968319286">
          <w:marLeft w:val="1166"/>
          <w:marRight w:val="0"/>
          <w:marTop w:val="86"/>
          <w:marBottom w:val="0"/>
          <w:divBdr>
            <w:top w:val="none" w:sz="0" w:space="0" w:color="auto"/>
            <w:left w:val="none" w:sz="0" w:space="0" w:color="auto"/>
            <w:bottom w:val="none" w:sz="0" w:space="0" w:color="auto"/>
            <w:right w:val="none" w:sz="0" w:space="0" w:color="auto"/>
          </w:divBdr>
        </w:div>
      </w:divsChild>
    </w:div>
    <w:div w:id="149059949">
      <w:bodyDiv w:val="1"/>
      <w:marLeft w:val="0"/>
      <w:marRight w:val="0"/>
      <w:marTop w:val="0"/>
      <w:marBottom w:val="0"/>
      <w:divBdr>
        <w:top w:val="none" w:sz="0" w:space="0" w:color="auto"/>
        <w:left w:val="none" w:sz="0" w:space="0" w:color="auto"/>
        <w:bottom w:val="none" w:sz="0" w:space="0" w:color="auto"/>
        <w:right w:val="none" w:sz="0" w:space="0" w:color="auto"/>
      </w:divBdr>
      <w:divsChild>
        <w:div w:id="881985527">
          <w:marLeft w:val="1080"/>
          <w:marRight w:val="0"/>
          <w:marTop w:val="100"/>
          <w:marBottom w:val="0"/>
          <w:divBdr>
            <w:top w:val="none" w:sz="0" w:space="0" w:color="auto"/>
            <w:left w:val="none" w:sz="0" w:space="0" w:color="auto"/>
            <w:bottom w:val="none" w:sz="0" w:space="0" w:color="auto"/>
            <w:right w:val="none" w:sz="0" w:space="0" w:color="auto"/>
          </w:divBdr>
        </w:div>
      </w:divsChild>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81288704">
      <w:bodyDiv w:val="1"/>
      <w:marLeft w:val="0"/>
      <w:marRight w:val="0"/>
      <w:marTop w:val="0"/>
      <w:marBottom w:val="0"/>
      <w:divBdr>
        <w:top w:val="none" w:sz="0" w:space="0" w:color="auto"/>
        <w:left w:val="none" w:sz="0" w:space="0" w:color="auto"/>
        <w:bottom w:val="none" w:sz="0" w:space="0" w:color="auto"/>
        <w:right w:val="none" w:sz="0" w:space="0" w:color="auto"/>
      </w:divBdr>
    </w:div>
    <w:div w:id="187180302">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69632084">
      <w:bodyDiv w:val="1"/>
      <w:marLeft w:val="0"/>
      <w:marRight w:val="0"/>
      <w:marTop w:val="0"/>
      <w:marBottom w:val="0"/>
      <w:divBdr>
        <w:top w:val="none" w:sz="0" w:space="0" w:color="auto"/>
        <w:left w:val="none" w:sz="0" w:space="0" w:color="auto"/>
        <w:bottom w:val="none" w:sz="0" w:space="0" w:color="auto"/>
        <w:right w:val="none" w:sz="0" w:space="0" w:color="auto"/>
      </w:divBdr>
      <w:divsChild>
        <w:div w:id="2031443703">
          <w:marLeft w:val="274"/>
          <w:marRight w:val="0"/>
          <w:marTop w:val="168"/>
          <w:marBottom w:val="0"/>
          <w:divBdr>
            <w:top w:val="none" w:sz="0" w:space="0" w:color="auto"/>
            <w:left w:val="none" w:sz="0" w:space="0" w:color="auto"/>
            <w:bottom w:val="none" w:sz="0" w:space="0" w:color="auto"/>
            <w:right w:val="none" w:sz="0" w:space="0" w:color="auto"/>
          </w:divBdr>
        </w:div>
      </w:divsChild>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7737597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08638031">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22271776">
      <w:bodyDiv w:val="1"/>
      <w:marLeft w:val="0"/>
      <w:marRight w:val="0"/>
      <w:marTop w:val="0"/>
      <w:marBottom w:val="0"/>
      <w:divBdr>
        <w:top w:val="none" w:sz="0" w:space="0" w:color="auto"/>
        <w:left w:val="none" w:sz="0" w:space="0" w:color="auto"/>
        <w:bottom w:val="none" w:sz="0" w:space="0" w:color="auto"/>
        <w:right w:val="none" w:sz="0" w:space="0" w:color="auto"/>
      </w:divBdr>
    </w:div>
    <w:div w:id="339771141">
      <w:bodyDiv w:val="1"/>
      <w:marLeft w:val="0"/>
      <w:marRight w:val="0"/>
      <w:marTop w:val="0"/>
      <w:marBottom w:val="0"/>
      <w:divBdr>
        <w:top w:val="none" w:sz="0" w:space="0" w:color="auto"/>
        <w:left w:val="none" w:sz="0" w:space="0" w:color="auto"/>
        <w:bottom w:val="none" w:sz="0" w:space="0" w:color="auto"/>
        <w:right w:val="none" w:sz="0" w:space="0" w:color="auto"/>
      </w:divBdr>
    </w:div>
    <w:div w:id="356977614">
      <w:bodyDiv w:val="1"/>
      <w:marLeft w:val="0"/>
      <w:marRight w:val="0"/>
      <w:marTop w:val="0"/>
      <w:marBottom w:val="0"/>
      <w:divBdr>
        <w:top w:val="none" w:sz="0" w:space="0" w:color="auto"/>
        <w:left w:val="none" w:sz="0" w:space="0" w:color="auto"/>
        <w:bottom w:val="none" w:sz="0" w:space="0" w:color="auto"/>
        <w:right w:val="none" w:sz="0" w:space="0" w:color="auto"/>
      </w:divBdr>
    </w:div>
    <w:div w:id="376852436">
      <w:bodyDiv w:val="1"/>
      <w:marLeft w:val="0"/>
      <w:marRight w:val="0"/>
      <w:marTop w:val="0"/>
      <w:marBottom w:val="0"/>
      <w:divBdr>
        <w:top w:val="none" w:sz="0" w:space="0" w:color="auto"/>
        <w:left w:val="none" w:sz="0" w:space="0" w:color="auto"/>
        <w:bottom w:val="none" w:sz="0" w:space="0" w:color="auto"/>
        <w:right w:val="none" w:sz="0" w:space="0" w:color="auto"/>
      </w:divBdr>
      <w:divsChild>
        <w:div w:id="371538578">
          <w:marLeft w:val="274"/>
          <w:marRight w:val="0"/>
          <w:marTop w:val="168"/>
          <w:marBottom w:val="0"/>
          <w:divBdr>
            <w:top w:val="none" w:sz="0" w:space="0" w:color="auto"/>
            <w:left w:val="none" w:sz="0" w:space="0" w:color="auto"/>
            <w:bottom w:val="none" w:sz="0" w:space="0" w:color="auto"/>
            <w:right w:val="none" w:sz="0" w:space="0" w:color="auto"/>
          </w:divBdr>
        </w:div>
        <w:div w:id="432552291">
          <w:marLeft w:val="274"/>
          <w:marRight w:val="0"/>
          <w:marTop w:val="168"/>
          <w:marBottom w:val="0"/>
          <w:divBdr>
            <w:top w:val="none" w:sz="0" w:space="0" w:color="auto"/>
            <w:left w:val="none" w:sz="0" w:space="0" w:color="auto"/>
            <w:bottom w:val="none" w:sz="0" w:space="0" w:color="auto"/>
            <w:right w:val="none" w:sz="0" w:space="0" w:color="auto"/>
          </w:divBdr>
        </w:div>
        <w:div w:id="623123755">
          <w:marLeft w:val="274"/>
          <w:marRight w:val="0"/>
          <w:marTop w:val="168"/>
          <w:marBottom w:val="0"/>
          <w:divBdr>
            <w:top w:val="none" w:sz="0" w:space="0" w:color="auto"/>
            <w:left w:val="none" w:sz="0" w:space="0" w:color="auto"/>
            <w:bottom w:val="none" w:sz="0" w:space="0" w:color="auto"/>
            <w:right w:val="none" w:sz="0" w:space="0" w:color="auto"/>
          </w:divBdr>
        </w:div>
        <w:div w:id="1644846728">
          <w:marLeft w:val="274"/>
          <w:marRight w:val="0"/>
          <w:marTop w:val="168"/>
          <w:marBottom w:val="0"/>
          <w:divBdr>
            <w:top w:val="none" w:sz="0" w:space="0" w:color="auto"/>
            <w:left w:val="none" w:sz="0" w:space="0" w:color="auto"/>
            <w:bottom w:val="none" w:sz="0" w:space="0" w:color="auto"/>
            <w:right w:val="none" w:sz="0" w:space="0" w:color="auto"/>
          </w:divBdr>
        </w:div>
        <w:div w:id="2004427085">
          <w:marLeft w:val="274"/>
          <w:marRight w:val="0"/>
          <w:marTop w:val="168"/>
          <w:marBottom w:val="0"/>
          <w:divBdr>
            <w:top w:val="none" w:sz="0" w:space="0" w:color="auto"/>
            <w:left w:val="none" w:sz="0" w:space="0" w:color="auto"/>
            <w:bottom w:val="none" w:sz="0" w:space="0" w:color="auto"/>
            <w:right w:val="none" w:sz="0" w:space="0" w:color="auto"/>
          </w:divBdr>
        </w:div>
      </w:divsChild>
    </w:div>
    <w:div w:id="381560416">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399181665">
      <w:bodyDiv w:val="1"/>
      <w:marLeft w:val="0"/>
      <w:marRight w:val="0"/>
      <w:marTop w:val="0"/>
      <w:marBottom w:val="0"/>
      <w:divBdr>
        <w:top w:val="none" w:sz="0" w:space="0" w:color="auto"/>
        <w:left w:val="none" w:sz="0" w:space="0" w:color="auto"/>
        <w:bottom w:val="none" w:sz="0" w:space="0" w:color="auto"/>
        <w:right w:val="none" w:sz="0" w:space="0" w:color="auto"/>
      </w:divBdr>
    </w:div>
    <w:div w:id="404182148">
      <w:bodyDiv w:val="1"/>
      <w:marLeft w:val="0"/>
      <w:marRight w:val="0"/>
      <w:marTop w:val="0"/>
      <w:marBottom w:val="0"/>
      <w:divBdr>
        <w:top w:val="none" w:sz="0" w:space="0" w:color="auto"/>
        <w:left w:val="none" w:sz="0" w:space="0" w:color="auto"/>
        <w:bottom w:val="none" w:sz="0" w:space="0" w:color="auto"/>
        <w:right w:val="none" w:sz="0" w:space="0" w:color="auto"/>
      </w:divBdr>
    </w:div>
    <w:div w:id="405684554">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397456">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33326997">
      <w:bodyDiv w:val="1"/>
      <w:marLeft w:val="0"/>
      <w:marRight w:val="0"/>
      <w:marTop w:val="0"/>
      <w:marBottom w:val="0"/>
      <w:divBdr>
        <w:top w:val="none" w:sz="0" w:space="0" w:color="auto"/>
        <w:left w:val="none" w:sz="0" w:space="0" w:color="auto"/>
        <w:bottom w:val="none" w:sz="0" w:space="0" w:color="auto"/>
        <w:right w:val="none" w:sz="0" w:space="0" w:color="auto"/>
      </w:divBdr>
      <w:divsChild>
        <w:div w:id="2000502112">
          <w:marLeft w:val="360"/>
          <w:marRight w:val="0"/>
          <w:marTop w:val="200"/>
          <w:marBottom w:val="0"/>
          <w:divBdr>
            <w:top w:val="none" w:sz="0" w:space="0" w:color="auto"/>
            <w:left w:val="none" w:sz="0" w:space="0" w:color="auto"/>
            <w:bottom w:val="none" w:sz="0" w:space="0" w:color="auto"/>
            <w:right w:val="none" w:sz="0" w:space="0" w:color="auto"/>
          </w:divBdr>
        </w:div>
        <w:div w:id="891576418">
          <w:marLeft w:val="1080"/>
          <w:marRight w:val="0"/>
          <w:marTop w:val="100"/>
          <w:marBottom w:val="0"/>
          <w:divBdr>
            <w:top w:val="none" w:sz="0" w:space="0" w:color="auto"/>
            <w:left w:val="none" w:sz="0" w:space="0" w:color="auto"/>
            <w:bottom w:val="none" w:sz="0" w:space="0" w:color="auto"/>
            <w:right w:val="none" w:sz="0" w:space="0" w:color="auto"/>
          </w:divBdr>
        </w:div>
        <w:div w:id="1830051090">
          <w:marLeft w:val="1080"/>
          <w:marRight w:val="0"/>
          <w:marTop w:val="100"/>
          <w:marBottom w:val="0"/>
          <w:divBdr>
            <w:top w:val="none" w:sz="0" w:space="0" w:color="auto"/>
            <w:left w:val="none" w:sz="0" w:space="0" w:color="auto"/>
            <w:bottom w:val="none" w:sz="0" w:space="0" w:color="auto"/>
            <w:right w:val="none" w:sz="0" w:space="0" w:color="auto"/>
          </w:divBdr>
        </w:div>
        <w:div w:id="523521936">
          <w:marLeft w:val="1800"/>
          <w:marRight w:val="0"/>
          <w:marTop w:val="100"/>
          <w:marBottom w:val="0"/>
          <w:divBdr>
            <w:top w:val="none" w:sz="0" w:space="0" w:color="auto"/>
            <w:left w:val="none" w:sz="0" w:space="0" w:color="auto"/>
            <w:bottom w:val="none" w:sz="0" w:space="0" w:color="auto"/>
            <w:right w:val="none" w:sz="0" w:space="0" w:color="auto"/>
          </w:divBdr>
        </w:div>
        <w:div w:id="934746977">
          <w:marLeft w:val="1800"/>
          <w:marRight w:val="0"/>
          <w:marTop w:val="100"/>
          <w:marBottom w:val="0"/>
          <w:divBdr>
            <w:top w:val="none" w:sz="0" w:space="0" w:color="auto"/>
            <w:left w:val="none" w:sz="0" w:space="0" w:color="auto"/>
            <w:bottom w:val="none" w:sz="0" w:space="0" w:color="auto"/>
            <w:right w:val="none" w:sz="0" w:space="0" w:color="auto"/>
          </w:divBdr>
        </w:div>
        <w:div w:id="94635708">
          <w:marLeft w:val="1080"/>
          <w:marRight w:val="0"/>
          <w:marTop w:val="100"/>
          <w:marBottom w:val="0"/>
          <w:divBdr>
            <w:top w:val="none" w:sz="0" w:space="0" w:color="auto"/>
            <w:left w:val="none" w:sz="0" w:space="0" w:color="auto"/>
            <w:bottom w:val="none" w:sz="0" w:space="0" w:color="auto"/>
            <w:right w:val="none" w:sz="0" w:space="0" w:color="auto"/>
          </w:divBdr>
        </w:div>
        <w:div w:id="1127553827">
          <w:marLeft w:val="1080"/>
          <w:marRight w:val="0"/>
          <w:marTop w:val="100"/>
          <w:marBottom w:val="0"/>
          <w:divBdr>
            <w:top w:val="none" w:sz="0" w:space="0" w:color="auto"/>
            <w:left w:val="none" w:sz="0" w:space="0" w:color="auto"/>
            <w:bottom w:val="none" w:sz="0" w:space="0" w:color="auto"/>
            <w:right w:val="none" w:sz="0" w:space="0" w:color="auto"/>
          </w:divBdr>
        </w:div>
        <w:div w:id="419106094">
          <w:marLeft w:val="1080"/>
          <w:marRight w:val="0"/>
          <w:marTop w:val="100"/>
          <w:marBottom w:val="0"/>
          <w:divBdr>
            <w:top w:val="none" w:sz="0" w:space="0" w:color="auto"/>
            <w:left w:val="none" w:sz="0" w:space="0" w:color="auto"/>
            <w:bottom w:val="none" w:sz="0" w:space="0" w:color="auto"/>
            <w:right w:val="none" w:sz="0" w:space="0" w:color="auto"/>
          </w:divBdr>
        </w:div>
        <w:div w:id="964232700">
          <w:marLeft w:val="1800"/>
          <w:marRight w:val="0"/>
          <w:marTop w:val="100"/>
          <w:marBottom w:val="0"/>
          <w:divBdr>
            <w:top w:val="none" w:sz="0" w:space="0" w:color="auto"/>
            <w:left w:val="none" w:sz="0" w:space="0" w:color="auto"/>
            <w:bottom w:val="none" w:sz="0" w:space="0" w:color="auto"/>
            <w:right w:val="none" w:sz="0" w:space="0" w:color="auto"/>
          </w:divBdr>
        </w:div>
        <w:div w:id="166598570">
          <w:marLeft w:val="1080"/>
          <w:marRight w:val="0"/>
          <w:marTop w:val="100"/>
          <w:marBottom w:val="0"/>
          <w:divBdr>
            <w:top w:val="none" w:sz="0" w:space="0" w:color="auto"/>
            <w:left w:val="none" w:sz="0" w:space="0" w:color="auto"/>
            <w:bottom w:val="none" w:sz="0" w:space="0" w:color="auto"/>
            <w:right w:val="none" w:sz="0" w:space="0" w:color="auto"/>
          </w:divBdr>
        </w:div>
        <w:div w:id="1434477892">
          <w:marLeft w:val="1800"/>
          <w:marRight w:val="0"/>
          <w:marTop w:val="100"/>
          <w:marBottom w:val="0"/>
          <w:divBdr>
            <w:top w:val="none" w:sz="0" w:space="0" w:color="auto"/>
            <w:left w:val="none" w:sz="0" w:space="0" w:color="auto"/>
            <w:bottom w:val="none" w:sz="0" w:space="0" w:color="auto"/>
            <w:right w:val="none" w:sz="0" w:space="0" w:color="auto"/>
          </w:divBdr>
        </w:div>
        <w:div w:id="1680157848">
          <w:marLeft w:val="1800"/>
          <w:marRight w:val="0"/>
          <w:marTop w:val="100"/>
          <w:marBottom w:val="0"/>
          <w:divBdr>
            <w:top w:val="none" w:sz="0" w:space="0" w:color="auto"/>
            <w:left w:val="none" w:sz="0" w:space="0" w:color="auto"/>
            <w:bottom w:val="none" w:sz="0" w:space="0" w:color="auto"/>
            <w:right w:val="none" w:sz="0" w:space="0" w:color="auto"/>
          </w:divBdr>
        </w:div>
        <w:div w:id="224151161">
          <w:marLeft w:val="1800"/>
          <w:marRight w:val="0"/>
          <w:marTop w:val="100"/>
          <w:marBottom w:val="0"/>
          <w:divBdr>
            <w:top w:val="none" w:sz="0" w:space="0" w:color="auto"/>
            <w:left w:val="none" w:sz="0" w:space="0" w:color="auto"/>
            <w:bottom w:val="none" w:sz="0" w:space="0" w:color="auto"/>
            <w:right w:val="none" w:sz="0" w:space="0" w:color="auto"/>
          </w:divBdr>
        </w:div>
        <w:div w:id="392890459">
          <w:marLeft w:val="1800"/>
          <w:marRight w:val="0"/>
          <w:marTop w:val="100"/>
          <w:marBottom w:val="0"/>
          <w:divBdr>
            <w:top w:val="none" w:sz="0" w:space="0" w:color="auto"/>
            <w:left w:val="none" w:sz="0" w:space="0" w:color="auto"/>
            <w:bottom w:val="none" w:sz="0" w:space="0" w:color="auto"/>
            <w:right w:val="none" w:sz="0" w:space="0" w:color="auto"/>
          </w:divBdr>
        </w:div>
        <w:div w:id="275597474">
          <w:marLeft w:val="1080"/>
          <w:marRight w:val="0"/>
          <w:marTop w:val="100"/>
          <w:marBottom w:val="0"/>
          <w:divBdr>
            <w:top w:val="none" w:sz="0" w:space="0" w:color="auto"/>
            <w:left w:val="none" w:sz="0" w:space="0" w:color="auto"/>
            <w:bottom w:val="none" w:sz="0" w:space="0" w:color="auto"/>
            <w:right w:val="none" w:sz="0" w:space="0" w:color="auto"/>
          </w:divBdr>
        </w:div>
      </w:divsChild>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46048664">
      <w:bodyDiv w:val="1"/>
      <w:marLeft w:val="0"/>
      <w:marRight w:val="0"/>
      <w:marTop w:val="0"/>
      <w:marBottom w:val="0"/>
      <w:divBdr>
        <w:top w:val="none" w:sz="0" w:space="0" w:color="auto"/>
        <w:left w:val="none" w:sz="0" w:space="0" w:color="auto"/>
        <w:bottom w:val="none" w:sz="0" w:space="0" w:color="auto"/>
        <w:right w:val="none" w:sz="0" w:space="0" w:color="auto"/>
      </w:divBdr>
    </w:div>
    <w:div w:id="456073731">
      <w:bodyDiv w:val="1"/>
      <w:marLeft w:val="0"/>
      <w:marRight w:val="0"/>
      <w:marTop w:val="0"/>
      <w:marBottom w:val="0"/>
      <w:divBdr>
        <w:top w:val="none" w:sz="0" w:space="0" w:color="auto"/>
        <w:left w:val="none" w:sz="0" w:space="0" w:color="auto"/>
        <w:bottom w:val="none" w:sz="0" w:space="0" w:color="auto"/>
        <w:right w:val="none" w:sz="0" w:space="0" w:color="auto"/>
      </w:divBdr>
      <w:divsChild>
        <w:div w:id="212281197">
          <w:marLeft w:val="994"/>
          <w:marRight w:val="0"/>
          <w:marTop w:val="151"/>
          <w:marBottom w:val="0"/>
          <w:divBdr>
            <w:top w:val="none" w:sz="0" w:space="0" w:color="auto"/>
            <w:left w:val="none" w:sz="0" w:space="0" w:color="auto"/>
            <w:bottom w:val="none" w:sz="0" w:space="0" w:color="auto"/>
            <w:right w:val="none" w:sz="0" w:space="0" w:color="auto"/>
          </w:divBdr>
        </w:div>
        <w:div w:id="274795041">
          <w:marLeft w:val="1526"/>
          <w:marRight w:val="0"/>
          <w:marTop w:val="134"/>
          <w:marBottom w:val="0"/>
          <w:divBdr>
            <w:top w:val="none" w:sz="0" w:space="0" w:color="auto"/>
            <w:left w:val="none" w:sz="0" w:space="0" w:color="auto"/>
            <w:bottom w:val="none" w:sz="0" w:space="0" w:color="auto"/>
            <w:right w:val="none" w:sz="0" w:space="0" w:color="auto"/>
          </w:divBdr>
        </w:div>
        <w:div w:id="447507218">
          <w:marLeft w:val="994"/>
          <w:marRight w:val="0"/>
          <w:marTop w:val="151"/>
          <w:marBottom w:val="0"/>
          <w:divBdr>
            <w:top w:val="none" w:sz="0" w:space="0" w:color="auto"/>
            <w:left w:val="none" w:sz="0" w:space="0" w:color="auto"/>
            <w:bottom w:val="none" w:sz="0" w:space="0" w:color="auto"/>
            <w:right w:val="none" w:sz="0" w:space="0" w:color="auto"/>
          </w:divBdr>
        </w:div>
        <w:div w:id="708458777">
          <w:marLeft w:val="994"/>
          <w:marRight w:val="0"/>
          <w:marTop w:val="151"/>
          <w:marBottom w:val="0"/>
          <w:divBdr>
            <w:top w:val="none" w:sz="0" w:space="0" w:color="auto"/>
            <w:left w:val="none" w:sz="0" w:space="0" w:color="auto"/>
            <w:bottom w:val="none" w:sz="0" w:space="0" w:color="auto"/>
            <w:right w:val="none" w:sz="0" w:space="0" w:color="auto"/>
          </w:divBdr>
        </w:div>
        <w:div w:id="738216193">
          <w:marLeft w:val="994"/>
          <w:marRight w:val="0"/>
          <w:marTop w:val="151"/>
          <w:marBottom w:val="0"/>
          <w:divBdr>
            <w:top w:val="none" w:sz="0" w:space="0" w:color="auto"/>
            <w:left w:val="none" w:sz="0" w:space="0" w:color="auto"/>
            <w:bottom w:val="none" w:sz="0" w:space="0" w:color="auto"/>
            <w:right w:val="none" w:sz="0" w:space="0" w:color="auto"/>
          </w:divBdr>
        </w:div>
        <w:div w:id="942499899">
          <w:marLeft w:val="994"/>
          <w:marRight w:val="0"/>
          <w:marTop w:val="151"/>
          <w:marBottom w:val="0"/>
          <w:divBdr>
            <w:top w:val="none" w:sz="0" w:space="0" w:color="auto"/>
            <w:left w:val="none" w:sz="0" w:space="0" w:color="auto"/>
            <w:bottom w:val="none" w:sz="0" w:space="0" w:color="auto"/>
            <w:right w:val="none" w:sz="0" w:space="0" w:color="auto"/>
          </w:divBdr>
        </w:div>
        <w:div w:id="1067261091">
          <w:marLeft w:val="1526"/>
          <w:marRight w:val="0"/>
          <w:marTop w:val="134"/>
          <w:marBottom w:val="0"/>
          <w:divBdr>
            <w:top w:val="none" w:sz="0" w:space="0" w:color="auto"/>
            <w:left w:val="none" w:sz="0" w:space="0" w:color="auto"/>
            <w:bottom w:val="none" w:sz="0" w:space="0" w:color="auto"/>
            <w:right w:val="none" w:sz="0" w:space="0" w:color="auto"/>
          </w:divBdr>
        </w:div>
        <w:div w:id="1929803962">
          <w:marLeft w:val="994"/>
          <w:marRight w:val="0"/>
          <w:marTop w:val="151"/>
          <w:marBottom w:val="0"/>
          <w:divBdr>
            <w:top w:val="none" w:sz="0" w:space="0" w:color="auto"/>
            <w:left w:val="none" w:sz="0" w:space="0" w:color="auto"/>
            <w:bottom w:val="none" w:sz="0" w:space="0" w:color="auto"/>
            <w:right w:val="none" w:sz="0" w:space="0" w:color="auto"/>
          </w:divBdr>
        </w:div>
      </w:divsChild>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3910401">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665833">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487593692">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2668175">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35852765">
      <w:bodyDiv w:val="1"/>
      <w:marLeft w:val="0"/>
      <w:marRight w:val="0"/>
      <w:marTop w:val="0"/>
      <w:marBottom w:val="0"/>
      <w:divBdr>
        <w:top w:val="none" w:sz="0" w:space="0" w:color="auto"/>
        <w:left w:val="none" w:sz="0" w:space="0" w:color="auto"/>
        <w:bottom w:val="none" w:sz="0" w:space="0" w:color="auto"/>
        <w:right w:val="none" w:sz="0" w:space="0" w:color="auto"/>
      </w:divBdr>
      <w:divsChild>
        <w:div w:id="2081056913">
          <w:marLeft w:val="0"/>
          <w:marRight w:val="0"/>
          <w:marTop w:val="0"/>
          <w:marBottom w:val="0"/>
          <w:divBdr>
            <w:top w:val="none" w:sz="0" w:space="0" w:color="auto"/>
            <w:left w:val="none" w:sz="0" w:space="0" w:color="auto"/>
            <w:bottom w:val="none" w:sz="0" w:space="0" w:color="auto"/>
            <w:right w:val="none" w:sz="0" w:space="0" w:color="auto"/>
          </w:divBdr>
        </w:div>
      </w:divsChild>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598101607">
      <w:bodyDiv w:val="1"/>
      <w:marLeft w:val="0"/>
      <w:marRight w:val="0"/>
      <w:marTop w:val="0"/>
      <w:marBottom w:val="0"/>
      <w:divBdr>
        <w:top w:val="none" w:sz="0" w:space="0" w:color="auto"/>
        <w:left w:val="none" w:sz="0" w:space="0" w:color="auto"/>
        <w:bottom w:val="none" w:sz="0" w:space="0" w:color="auto"/>
        <w:right w:val="none" w:sz="0" w:space="0" w:color="auto"/>
      </w:divBdr>
    </w:div>
    <w:div w:id="633098409">
      <w:bodyDiv w:val="1"/>
      <w:marLeft w:val="0"/>
      <w:marRight w:val="0"/>
      <w:marTop w:val="0"/>
      <w:marBottom w:val="0"/>
      <w:divBdr>
        <w:top w:val="none" w:sz="0" w:space="0" w:color="auto"/>
        <w:left w:val="none" w:sz="0" w:space="0" w:color="auto"/>
        <w:bottom w:val="none" w:sz="0" w:space="0" w:color="auto"/>
        <w:right w:val="none" w:sz="0" w:space="0" w:color="auto"/>
      </w:divBdr>
    </w:div>
    <w:div w:id="649595430">
      <w:bodyDiv w:val="1"/>
      <w:marLeft w:val="0"/>
      <w:marRight w:val="0"/>
      <w:marTop w:val="0"/>
      <w:marBottom w:val="0"/>
      <w:divBdr>
        <w:top w:val="none" w:sz="0" w:space="0" w:color="auto"/>
        <w:left w:val="none" w:sz="0" w:space="0" w:color="auto"/>
        <w:bottom w:val="none" w:sz="0" w:space="0" w:color="auto"/>
        <w:right w:val="none" w:sz="0" w:space="0" w:color="auto"/>
      </w:divBdr>
    </w:div>
    <w:div w:id="652105210">
      <w:bodyDiv w:val="1"/>
      <w:marLeft w:val="0"/>
      <w:marRight w:val="0"/>
      <w:marTop w:val="0"/>
      <w:marBottom w:val="0"/>
      <w:divBdr>
        <w:top w:val="none" w:sz="0" w:space="0" w:color="auto"/>
        <w:left w:val="none" w:sz="0" w:space="0" w:color="auto"/>
        <w:bottom w:val="none" w:sz="0" w:space="0" w:color="auto"/>
        <w:right w:val="none" w:sz="0" w:space="0" w:color="auto"/>
      </w:divBdr>
    </w:div>
    <w:div w:id="661588926">
      <w:bodyDiv w:val="1"/>
      <w:marLeft w:val="0"/>
      <w:marRight w:val="0"/>
      <w:marTop w:val="0"/>
      <w:marBottom w:val="0"/>
      <w:divBdr>
        <w:top w:val="none" w:sz="0" w:space="0" w:color="auto"/>
        <w:left w:val="none" w:sz="0" w:space="0" w:color="auto"/>
        <w:bottom w:val="none" w:sz="0" w:space="0" w:color="auto"/>
        <w:right w:val="none" w:sz="0" w:space="0" w:color="auto"/>
      </w:divBdr>
      <w:divsChild>
        <w:div w:id="2060471693">
          <w:marLeft w:val="360"/>
          <w:marRight w:val="0"/>
          <w:marTop w:val="200"/>
          <w:marBottom w:val="0"/>
          <w:divBdr>
            <w:top w:val="none" w:sz="0" w:space="0" w:color="auto"/>
            <w:left w:val="none" w:sz="0" w:space="0" w:color="auto"/>
            <w:bottom w:val="none" w:sz="0" w:space="0" w:color="auto"/>
            <w:right w:val="none" w:sz="0" w:space="0" w:color="auto"/>
          </w:divBdr>
        </w:div>
      </w:divsChild>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68027925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741022794">
      <w:bodyDiv w:val="1"/>
      <w:marLeft w:val="0"/>
      <w:marRight w:val="0"/>
      <w:marTop w:val="0"/>
      <w:marBottom w:val="0"/>
      <w:divBdr>
        <w:top w:val="none" w:sz="0" w:space="0" w:color="auto"/>
        <w:left w:val="none" w:sz="0" w:space="0" w:color="auto"/>
        <w:bottom w:val="none" w:sz="0" w:space="0" w:color="auto"/>
        <w:right w:val="none" w:sz="0" w:space="0" w:color="auto"/>
      </w:divBdr>
    </w:div>
    <w:div w:id="752432882">
      <w:bodyDiv w:val="1"/>
      <w:marLeft w:val="0"/>
      <w:marRight w:val="0"/>
      <w:marTop w:val="0"/>
      <w:marBottom w:val="0"/>
      <w:divBdr>
        <w:top w:val="none" w:sz="0" w:space="0" w:color="auto"/>
        <w:left w:val="none" w:sz="0" w:space="0" w:color="auto"/>
        <w:bottom w:val="none" w:sz="0" w:space="0" w:color="auto"/>
        <w:right w:val="none" w:sz="0" w:space="0" w:color="auto"/>
      </w:divBdr>
    </w:div>
    <w:div w:id="775951712">
      <w:bodyDiv w:val="1"/>
      <w:marLeft w:val="0"/>
      <w:marRight w:val="0"/>
      <w:marTop w:val="0"/>
      <w:marBottom w:val="0"/>
      <w:divBdr>
        <w:top w:val="none" w:sz="0" w:space="0" w:color="auto"/>
        <w:left w:val="none" w:sz="0" w:space="0" w:color="auto"/>
        <w:bottom w:val="none" w:sz="0" w:space="0" w:color="auto"/>
        <w:right w:val="none" w:sz="0" w:space="0" w:color="auto"/>
      </w:divBdr>
    </w:div>
    <w:div w:id="785776831">
      <w:bodyDiv w:val="1"/>
      <w:marLeft w:val="0"/>
      <w:marRight w:val="0"/>
      <w:marTop w:val="0"/>
      <w:marBottom w:val="0"/>
      <w:divBdr>
        <w:top w:val="none" w:sz="0" w:space="0" w:color="auto"/>
        <w:left w:val="none" w:sz="0" w:space="0" w:color="auto"/>
        <w:bottom w:val="none" w:sz="0" w:space="0" w:color="auto"/>
        <w:right w:val="none" w:sz="0" w:space="0" w:color="auto"/>
      </w:divBdr>
      <w:divsChild>
        <w:div w:id="1413310512">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16141628">
      <w:bodyDiv w:val="1"/>
      <w:marLeft w:val="0"/>
      <w:marRight w:val="0"/>
      <w:marTop w:val="0"/>
      <w:marBottom w:val="0"/>
      <w:divBdr>
        <w:top w:val="none" w:sz="0" w:space="0" w:color="auto"/>
        <w:left w:val="none" w:sz="0" w:space="0" w:color="auto"/>
        <w:bottom w:val="none" w:sz="0" w:space="0" w:color="auto"/>
        <w:right w:val="none" w:sz="0" w:space="0" w:color="auto"/>
      </w:divBdr>
    </w:div>
    <w:div w:id="823593778">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49611159">
      <w:bodyDiv w:val="1"/>
      <w:marLeft w:val="0"/>
      <w:marRight w:val="0"/>
      <w:marTop w:val="0"/>
      <w:marBottom w:val="0"/>
      <w:divBdr>
        <w:top w:val="none" w:sz="0" w:space="0" w:color="auto"/>
        <w:left w:val="none" w:sz="0" w:space="0" w:color="auto"/>
        <w:bottom w:val="none" w:sz="0" w:space="0" w:color="auto"/>
        <w:right w:val="none" w:sz="0" w:space="0" w:color="auto"/>
      </w:divBdr>
      <w:divsChild>
        <w:div w:id="423039081">
          <w:marLeft w:val="360"/>
          <w:marRight w:val="0"/>
          <w:marTop w:val="200"/>
          <w:marBottom w:val="0"/>
          <w:divBdr>
            <w:top w:val="none" w:sz="0" w:space="0" w:color="auto"/>
            <w:left w:val="none" w:sz="0" w:space="0" w:color="auto"/>
            <w:bottom w:val="none" w:sz="0" w:space="0" w:color="auto"/>
            <w:right w:val="none" w:sz="0" w:space="0" w:color="auto"/>
          </w:divBdr>
        </w:div>
        <w:div w:id="276067874">
          <w:marLeft w:val="1080"/>
          <w:marRight w:val="0"/>
          <w:marTop w:val="100"/>
          <w:marBottom w:val="0"/>
          <w:divBdr>
            <w:top w:val="none" w:sz="0" w:space="0" w:color="auto"/>
            <w:left w:val="none" w:sz="0" w:space="0" w:color="auto"/>
            <w:bottom w:val="none" w:sz="0" w:space="0" w:color="auto"/>
            <w:right w:val="none" w:sz="0" w:space="0" w:color="auto"/>
          </w:divBdr>
        </w:div>
        <w:div w:id="1461872891">
          <w:marLeft w:val="1080"/>
          <w:marRight w:val="0"/>
          <w:marTop w:val="100"/>
          <w:marBottom w:val="0"/>
          <w:divBdr>
            <w:top w:val="none" w:sz="0" w:space="0" w:color="auto"/>
            <w:left w:val="none" w:sz="0" w:space="0" w:color="auto"/>
            <w:bottom w:val="none" w:sz="0" w:space="0" w:color="auto"/>
            <w:right w:val="none" w:sz="0" w:space="0" w:color="auto"/>
          </w:divBdr>
        </w:div>
        <w:div w:id="90782304">
          <w:marLeft w:val="1800"/>
          <w:marRight w:val="0"/>
          <w:marTop w:val="100"/>
          <w:marBottom w:val="0"/>
          <w:divBdr>
            <w:top w:val="none" w:sz="0" w:space="0" w:color="auto"/>
            <w:left w:val="none" w:sz="0" w:space="0" w:color="auto"/>
            <w:bottom w:val="none" w:sz="0" w:space="0" w:color="auto"/>
            <w:right w:val="none" w:sz="0" w:space="0" w:color="auto"/>
          </w:divBdr>
        </w:div>
        <w:div w:id="1183200431">
          <w:marLeft w:val="1800"/>
          <w:marRight w:val="0"/>
          <w:marTop w:val="100"/>
          <w:marBottom w:val="0"/>
          <w:divBdr>
            <w:top w:val="none" w:sz="0" w:space="0" w:color="auto"/>
            <w:left w:val="none" w:sz="0" w:space="0" w:color="auto"/>
            <w:bottom w:val="none" w:sz="0" w:space="0" w:color="auto"/>
            <w:right w:val="none" w:sz="0" w:space="0" w:color="auto"/>
          </w:divBdr>
        </w:div>
        <w:div w:id="128792488">
          <w:marLeft w:val="1080"/>
          <w:marRight w:val="0"/>
          <w:marTop w:val="100"/>
          <w:marBottom w:val="0"/>
          <w:divBdr>
            <w:top w:val="none" w:sz="0" w:space="0" w:color="auto"/>
            <w:left w:val="none" w:sz="0" w:space="0" w:color="auto"/>
            <w:bottom w:val="none" w:sz="0" w:space="0" w:color="auto"/>
            <w:right w:val="none" w:sz="0" w:space="0" w:color="auto"/>
          </w:divBdr>
        </w:div>
        <w:div w:id="2093354029">
          <w:marLeft w:val="1080"/>
          <w:marRight w:val="0"/>
          <w:marTop w:val="100"/>
          <w:marBottom w:val="0"/>
          <w:divBdr>
            <w:top w:val="none" w:sz="0" w:space="0" w:color="auto"/>
            <w:left w:val="none" w:sz="0" w:space="0" w:color="auto"/>
            <w:bottom w:val="none" w:sz="0" w:space="0" w:color="auto"/>
            <w:right w:val="none" w:sz="0" w:space="0" w:color="auto"/>
          </w:divBdr>
        </w:div>
        <w:div w:id="1940336800">
          <w:marLeft w:val="1080"/>
          <w:marRight w:val="0"/>
          <w:marTop w:val="100"/>
          <w:marBottom w:val="0"/>
          <w:divBdr>
            <w:top w:val="none" w:sz="0" w:space="0" w:color="auto"/>
            <w:left w:val="none" w:sz="0" w:space="0" w:color="auto"/>
            <w:bottom w:val="none" w:sz="0" w:space="0" w:color="auto"/>
            <w:right w:val="none" w:sz="0" w:space="0" w:color="auto"/>
          </w:divBdr>
        </w:div>
        <w:div w:id="115177898">
          <w:marLeft w:val="1800"/>
          <w:marRight w:val="0"/>
          <w:marTop w:val="100"/>
          <w:marBottom w:val="0"/>
          <w:divBdr>
            <w:top w:val="none" w:sz="0" w:space="0" w:color="auto"/>
            <w:left w:val="none" w:sz="0" w:space="0" w:color="auto"/>
            <w:bottom w:val="none" w:sz="0" w:space="0" w:color="auto"/>
            <w:right w:val="none" w:sz="0" w:space="0" w:color="auto"/>
          </w:divBdr>
        </w:div>
        <w:div w:id="1628005136">
          <w:marLeft w:val="1080"/>
          <w:marRight w:val="0"/>
          <w:marTop w:val="100"/>
          <w:marBottom w:val="0"/>
          <w:divBdr>
            <w:top w:val="none" w:sz="0" w:space="0" w:color="auto"/>
            <w:left w:val="none" w:sz="0" w:space="0" w:color="auto"/>
            <w:bottom w:val="none" w:sz="0" w:space="0" w:color="auto"/>
            <w:right w:val="none" w:sz="0" w:space="0" w:color="auto"/>
          </w:divBdr>
        </w:div>
        <w:div w:id="418017015">
          <w:marLeft w:val="1800"/>
          <w:marRight w:val="0"/>
          <w:marTop w:val="100"/>
          <w:marBottom w:val="0"/>
          <w:divBdr>
            <w:top w:val="none" w:sz="0" w:space="0" w:color="auto"/>
            <w:left w:val="none" w:sz="0" w:space="0" w:color="auto"/>
            <w:bottom w:val="none" w:sz="0" w:space="0" w:color="auto"/>
            <w:right w:val="none" w:sz="0" w:space="0" w:color="auto"/>
          </w:divBdr>
        </w:div>
        <w:div w:id="2103447563">
          <w:marLeft w:val="1800"/>
          <w:marRight w:val="0"/>
          <w:marTop w:val="100"/>
          <w:marBottom w:val="0"/>
          <w:divBdr>
            <w:top w:val="none" w:sz="0" w:space="0" w:color="auto"/>
            <w:left w:val="none" w:sz="0" w:space="0" w:color="auto"/>
            <w:bottom w:val="none" w:sz="0" w:space="0" w:color="auto"/>
            <w:right w:val="none" w:sz="0" w:space="0" w:color="auto"/>
          </w:divBdr>
        </w:div>
        <w:div w:id="879241366">
          <w:marLeft w:val="1800"/>
          <w:marRight w:val="0"/>
          <w:marTop w:val="100"/>
          <w:marBottom w:val="0"/>
          <w:divBdr>
            <w:top w:val="none" w:sz="0" w:space="0" w:color="auto"/>
            <w:left w:val="none" w:sz="0" w:space="0" w:color="auto"/>
            <w:bottom w:val="none" w:sz="0" w:space="0" w:color="auto"/>
            <w:right w:val="none" w:sz="0" w:space="0" w:color="auto"/>
          </w:divBdr>
        </w:div>
        <w:div w:id="1438208265">
          <w:marLeft w:val="1800"/>
          <w:marRight w:val="0"/>
          <w:marTop w:val="100"/>
          <w:marBottom w:val="0"/>
          <w:divBdr>
            <w:top w:val="none" w:sz="0" w:space="0" w:color="auto"/>
            <w:left w:val="none" w:sz="0" w:space="0" w:color="auto"/>
            <w:bottom w:val="none" w:sz="0" w:space="0" w:color="auto"/>
            <w:right w:val="none" w:sz="0" w:space="0" w:color="auto"/>
          </w:divBdr>
        </w:div>
        <w:div w:id="1274046846">
          <w:marLeft w:val="108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1280024">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51127240">
      <w:bodyDiv w:val="1"/>
      <w:marLeft w:val="0"/>
      <w:marRight w:val="0"/>
      <w:marTop w:val="0"/>
      <w:marBottom w:val="0"/>
      <w:divBdr>
        <w:top w:val="none" w:sz="0" w:space="0" w:color="auto"/>
        <w:left w:val="none" w:sz="0" w:space="0" w:color="auto"/>
        <w:bottom w:val="none" w:sz="0" w:space="0" w:color="auto"/>
        <w:right w:val="none" w:sz="0" w:space="0" w:color="auto"/>
      </w:divBdr>
    </w:div>
    <w:div w:id="966620124">
      <w:bodyDiv w:val="1"/>
      <w:marLeft w:val="0"/>
      <w:marRight w:val="0"/>
      <w:marTop w:val="0"/>
      <w:marBottom w:val="0"/>
      <w:divBdr>
        <w:top w:val="none" w:sz="0" w:space="0" w:color="auto"/>
        <w:left w:val="none" w:sz="0" w:space="0" w:color="auto"/>
        <w:bottom w:val="none" w:sz="0" w:space="0" w:color="auto"/>
        <w:right w:val="none" w:sz="0" w:space="0" w:color="auto"/>
      </w:divBdr>
    </w:div>
    <w:div w:id="979572925">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0669326">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2775734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64447125">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03845761">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38650280">
      <w:bodyDiv w:val="1"/>
      <w:marLeft w:val="0"/>
      <w:marRight w:val="0"/>
      <w:marTop w:val="0"/>
      <w:marBottom w:val="0"/>
      <w:divBdr>
        <w:top w:val="none" w:sz="0" w:space="0" w:color="auto"/>
        <w:left w:val="none" w:sz="0" w:space="0" w:color="auto"/>
        <w:bottom w:val="none" w:sz="0" w:space="0" w:color="auto"/>
        <w:right w:val="none" w:sz="0" w:space="0" w:color="auto"/>
      </w:divBdr>
    </w:div>
    <w:div w:id="1149591591">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56073345">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332026">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5825720">
      <w:bodyDiv w:val="1"/>
      <w:marLeft w:val="0"/>
      <w:marRight w:val="0"/>
      <w:marTop w:val="0"/>
      <w:marBottom w:val="0"/>
      <w:divBdr>
        <w:top w:val="none" w:sz="0" w:space="0" w:color="auto"/>
        <w:left w:val="none" w:sz="0" w:space="0" w:color="auto"/>
        <w:bottom w:val="none" w:sz="0" w:space="0" w:color="auto"/>
        <w:right w:val="none" w:sz="0" w:space="0" w:color="auto"/>
      </w:divBdr>
      <w:divsChild>
        <w:div w:id="562569997">
          <w:marLeft w:val="0"/>
          <w:marRight w:val="0"/>
          <w:marTop w:val="0"/>
          <w:marBottom w:val="0"/>
          <w:divBdr>
            <w:top w:val="none" w:sz="0" w:space="0" w:color="auto"/>
            <w:left w:val="none" w:sz="0" w:space="0" w:color="auto"/>
            <w:bottom w:val="none" w:sz="0" w:space="0" w:color="auto"/>
            <w:right w:val="none" w:sz="0" w:space="0" w:color="auto"/>
          </w:divBdr>
        </w:div>
      </w:divsChild>
    </w:div>
    <w:div w:id="1206482233">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6935192">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285187831">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26938883">
      <w:bodyDiv w:val="1"/>
      <w:marLeft w:val="0"/>
      <w:marRight w:val="0"/>
      <w:marTop w:val="0"/>
      <w:marBottom w:val="0"/>
      <w:divBdr>
        <w:top w:val="none" w:sz="0" w:space="0" w:color="auto"/>
        <w:left w:val="none" w:sz="0" w:space="0" w:color="auto"/>
        <w:bottom w:val="none" w:sz="0" w:space="0" w:color="auto"/>
        <w:right w:val="none" w:sz="0" w:space="0" w:color="auto"/>
      </w:divBdr>
      <w:divsChild>
        <w:div w:id="268243347">
          <w:marLeft w:val="0"/>
          <w:marRight w:val="0"/>
          <w:marTop w:val="0"/>
          <w:marBottom w:val="0"/>
          <w:divBdr>
            <w:top w:val="none" w:sz="0" w:space="0" w:color="auto"/>
            <w:left w:val="none" w:sz="0" w:space="0" w:color="auto"/>
            <w:bottom w:val="none" w:sz="0" w:space="0" w:color="auto"/>
            <w:right w:val="none" w:sz="0" w:space="0" w:color="auto"/>
          </w:divBdr>
        </w:div>
      </w:divsChild>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757507">
      <w:bodyDiv w:val="1"/>
      <w:marLeft w:val="0"/>
      <w:marRight w:val="0"/>
      <w:marTop w:val="0"/>
      <w:marBottom w:val="0"/>
      <w:divBdr>
        <w:top w:val="none" w:sz="0" w:space="0" w:color="auto"/>
        <w:left w:val="none" w:sz="0" w:space="0" w:color="auto"/>
        <w:bottom w:val="none" w:sz="0" w:space="0" w:color="auto"/>
        <w:right w:val="none" w:sz="0" w:space="0" w:color="auto"/>
      </w:divBdr>
    </w:div>
    <w:div w:id="1354378084">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0062745">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0764836">
      <w:bodyDiv w:val="1"/>
      <w:marLeft w:val="0"/>
      <w:marRight w:val="0"/>
      <w:marTop w:val="0"/>
      <w:marBottom w:val="0"/>
      <w:divBdr>
        <w:top w:val="none" w:sz="0" w:space="0" w:color="auto"/>
        <w:left w:val="none" w:sz="0" w:space="0" w:color="auto"/>
        <w:bottom w:val="none" w:sz="0" w:space="0" w:color="auto"/>
        <w:right w:val="none" w:sz="0" w:space="0" w:color="auto"/>
      </w:divBdr>
      <w:divsChild>
        <w:div w:id="1505701299">
          <w:marLeft w:val="0"/>
          <w:marRight w:val="0"/>
          <w:marTop w:val="0"/>
          <w:marBottom w:val="0"/>
          <w:divBdr>
            <w:top w:val="none" w:sz="0" w:space="0" w:color="auto"/>
            <w:left w:val="none" w:sz="0" w:space="0" w:color="auto"/>
            <w:bottom w:val="none" w:sz="0" w:space="0" w:color="auto"/>
            <w:right w:val="none" w:sz="0" w:space="0" w:color="auto"/>
          </w:divBdr>
        </w:div>
      </w:divsChild>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50275975">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1165271">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6408170">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72426914">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600405916">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59071103">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8408800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07178685">
      <w:bodyDiv w:val="1"/>
      <w:marLeft w:val="0"/>
      <w:marRight w:val="0"/>
      <w:marTop w:val="0"/>
      <w:marBottom w:val="0"/>
      <w:divBdr>
        <w:top w:val="none" w:sz="0" w:space="0" w:color="auto"/>
        <w:left w:val="none" w:sz="0" w:space="0" w:color="auto"/>
        <w:bottom w:val="none" w:sz="0" w:space="0" w:color="auto"/>
        <w:right w:val="none" w:sz="0" w:space="0" w:color="auto"/>
      </w:divBdr>
    </w:div>
    <w:div w:id="1715929690">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68769426">
      <w:bodyDiv w:val="1"/>
      <w:marLeft w:val="0"/>
      <w:marRight w:val="0"/>
      <w:marTop w:val="0"/>
      <w:marBottom w:val="0"/>
      <w:divBdr>
        <w:top w:val="none" w:sz="0" w:space="0" w:color="auto"/>
        <w:left w:val="none" w:sz="0" w:space="0" w:color="auto"/>
        <w:bottom w:val="none" w:sz="0" w:space="0" w:color="auto"/>
        <w:right w:val="none" w:sz="0" w:space="0" w:color="auto"/>
      </w:divBdr>
    </w:div>
    <w:div w:id="1777745415">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794709026">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2043692">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3161145">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2448357">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2999938">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0282965">
      <w:bodyDiv w:val="1"/>
      <w:marLeft w:val="0"/>
      <w:marRight w:val="0"/>
      <w:marTop w:val="0"/>
      <w:marBottom w:val="0"/>
      <w:divBdr>
        <w:top w:val="none" w:sz="0" w:space="0" w:color="auto"/>
        <w:left w:val="none" w:sz="0" w:space="0" w:color="auto"/>
        <w:bottom w:val="none" w:sz="0" w:space="0" w:color="auto"/>
        <w:right w:val="none" w:sz="0" w:space="0" w:color="auto"/>
      </w:divBdr>
      <w:divsChild>
        <w:div w:id="123816841">
          <w:marLeft w:val="360"/>
          <w:marRight w:val="0"/>
          <w:marTop w:val="200"/>
          <w:marBottom w:val="0"/>
          <w:divBdr>
            <w:top w:val="none" w:sz="0" w:space="0" w:color="auto"/>
            <w:left w:val="none" w:sz="0" w:space="0" w:color="auto"/>
            <w:bottom w:val="none" w:sz="0" w:space="0" w:color="auto"/>
            <w:right w:val="none" w:sz="0" w:space="0" w:color="auto"/>
          </w:divBdr>
        </w:div>
        <w:div w:id="965887571">
          <w:marLeft w:val="1080"/>
          <w:marRight w:val="0"/>
          <w:marTop w:val="100"/>
          <w:marBottom w:val="0"/>
          <w:divBdr>
            <w:top w:val="none" w:sz="0" w:space="0" w:color="auto"/>
            <w:left w:val="none" w:sz="0" w:space="0" w:color="auto"/>
            <w:bottom w:val="none" w:sz="0" w:space="0" w:color="auto"/>
            <w:right w:val="none" w:sz="0" w:space="0" w:color="auto"/>
          </w:divBdr>
        </w:div>
        <w:div w:id="1478642303">
          <w:marLeft w:val="1080"/>
          <w:marRight w:val="0"/>
          <w:marTop w:val="100"/>
          <w:marBottom w:val="0"/>
          <w:divBdr>
            <w:top w:val="none" w:sz="0" w:space="0" w:color="auto"/>
            <w:left w:val="none" w:sz="0" w:space="0" w:color="auto"/>
            <w:bottom w:val="none" w:sz="0" w:space="0" w:color="auto"/>
            <w:right w:val="none" w:sz="0" w:space="0" w:color="auto"/>
          </w:divBdr>
        </w:div>
        <w:div w:id="770976637">
          <w:marLeft w:val="1800"/>
          <w:marRight w:val="0"/>
          <w:marTop w:val="100"/>
          <w:marBottom w:val="0"/>
          <w:divBdr>
            <w:top w:val="none" w:sz="0" w:space="0" w:color="auto"/>
            <w:left w:val="none" w:sz="0" w:space="0" w:color="auto"/>
            <w:bottom w:val="none" w:sz="0" w:space="0" w:color="auto"/>
            <w:right w:val="none" w:sz="0" w:space="0" w:color="auto"/>
          </w:divBdr>
        </w:div>
        <w:div w:id="1594515075">
          <w:marLeft w:val="1800"/>
          <w:marRight w:val="0"/>
          <w:marTop w:val="100"/>
          <w:marBottom w:val="0"/>
          <w:divBdr>
            <w:top w:val="none" w:sz="0" w:space="0" w:color="auto"/>
            <w:left w:val="none" w:sz="0" w:space="0" w:color="auto"/>
            <w:bottom w:val="none" w:sz="0" w:space="0" w:color="auto"/>
            <w:right w:val="none" w:sz="0" w:space="0" w:color="auto"/>
          </w:divBdr>
        </w:div>
        <w:div w:id="1938757291">
          <w:marLeft w:val="1080"/>
          <w:marRight w:val="0"/>
          <w:marTop w:val="100"/>
          <w:marBottom w:val="0"/>
          <w:divBdr>
            <w:top w:val="none" w:sz="0" w:space="0" w:color="auto"/>
            <w:left w:val="none" w:sz="0" w:space="0" w:color="auto"/>
            <w:bottom w:val="none" w:sz="0" w:space="0" w:color="auto"/>
            <w:right w:val="none" w:sz="0" w:space="0" w:color="auto"/>
          </w:divBdr>
        </w:div>
        <w:div w:id="100807883">
          <w:marLeft w:val="1080"/>
          <w:marRight w:val="0"/>
          <w:marTop w:val="100"/>
          <w:marBottom w:val="0"/>
          <w:divBdr>
            <w:top w:val="none" w:sz="0" w:space="0" w:color="auto"/>
            <w:left w:val="none" w:sz="0" w:space="0" w:color="auto"/>
            <w:bottom w:val="none" w:sz="0" w:space="0" w:color="auto"/>
            <w:right w:val="none" w:sz="0" w:space="0" w:color="auto"/>
          </w:divBdr>
        </w:div>
        <w:div w:id="1342198297">
          <w:marLeft w:val="1080"/>
          <w:marRight w:val="0"/>
          <w:marTop w:val="100"/>
          <w:marBottom w:val="0"/>
          <w:divBdr>
            <w:top w:val="none" w:sz="0" w:space="0" w:color="auto"/>
            <w:left w:val="none" w:sz="0" w:space="0" w:color="auto"/>
            <w:bottom w:val="none" w:sz="0" w:space="0" w:color="auto"/>
            <w:right w:val="none" w:sz="0" w:space="0" w:color="auto"/>
          </w:divBdr>
        </w:div>
        <w:div w:id="1379359628">
          <w:marLeft w:val="1800"/>
          <w:marRight w:val="0"/>
          <w:marTop w:val="100"/>
          <w:marBottom w:val="0"/>
          <w:divBdr>
            <w:top w:val="none" w:sz="0" w:space="0" w:color="auto"/>
            <w:left w:val="none" w:sz="0" w:space="0" w:color="auto"/>
            <w:bottom w:val="none" w:sz="0" w:space="0" w:color="auto"/>
            <w:right w:val="none" w:sz="0" w:space="0" w:color="auto"/>
          </w:divBdr>
        </w:div>
        <w:div w:id="202138855">
          <w:marLeft w:val="1080"/>
          <w:marRight w:val="0"/>
          <w:marTop w:val="100"/>
          <w:marBottom w:val="0"/>
          <w:divBdr>
            <w:top w:val="none" w:sz="0" w:space="0" w:color="auto"/>
            <w:left w:val="none" w:sz="0" w:space="0" w:color="auto"/>
            <w:bottom w:val="none" w:sz="0" w:space="0" w:color="auto"/>
            <w:right w:val="none" w:sz="0" w:space="0" w:color="auto"/>
          </w:divBdr>
        </w:div>
        <w:div w:id="1135874413">
          <w:marLeft w:val="1800"/>
          <w:marRight w:val="0"/>
          <w:marTop w:val="100"/>
          <w:marBottom w:val="0"/>
          <w:divBdr>
            <w:top w:val="none" w:sz="0" w:space="0" w:color="auto"/>
            <w:left w:val="none" w:sz="0" w:space="0" w:color="auto"/>
            <w:bottom w:val="none" w:sz="0" w:space="0" w:color="auto"/>
            <w:right w:val="none" w:sz="0" w:space="0" w:color="auto"/>
          </w:divBdr>
        </w:div>
        <w:div w:id="254286598">
          <w:marLeft w:val="1800"/>
          <w:marRight w:val="0"/>
          <w:marTop w:val="100"/>
          <w:marBottom w:val="0"/>
          <w:divBdr>
            <w:top w:val="none" w:sz="0" w:space="0" w:color="auto"/>
            <w:left w:val="none" w:sz="0" w:space="0" w:color="auto"/>
            <w:bottom w:val="none" w:sz="0" w:space="0" w:color="auto"/>
            <w:right w:val="none" w:sz="0" w:space="0" w:color="auto"/>
          </w:divBdr>
        </w:div>
        <w:div w:id="1599218707">
          <w:marLeft w:val="1800"/>
          <w:marRight w:val="0"/>
          <w:marTop w:val="100"/>
          <w:marBottom w:val="0"/>
          <w:divBdr>
            <w:top w:val="none" w:sz="0" w:space="0" w:color="auto"/>
            <w:left w:val="none" w:sz="0" w:space="0" w:color="auto"/>
            <w:bottom w:val="none" w:sz="0" w:space="0" w:color="auto"/>
            <w:right w:val="none" w:sz="0" w:space="0" w:color="auto"/>
          </w:divBdr>
        </w:div>
        <w:div w:id="1641957855">
          <w:marLeft w:val="1800"/>
          <w:marRight w:val="0"/>
          <w:marTop w:val="100"/>
          <w:marBottom w:val="0"/>
          <w:divBdr>
            <w:top w:val="none" w:sz="0" w:space="0" w:color="auto"/>
            <w:left w:val="none" w:sz="0" w:space="0" w:color="auto"/>
            <w:bottom w:val="none" w:sz="0" w:space="0" w:color="auto"/>
            <w:right w:val="none" w:sz="0" w:space="0" w:color="auto"/>
          </w:divBdr>
        </w:div>
        <w:div w:id="1027948161">
          <w:marLeft w:val="1080"/>
          <w:marRight w:val="0"/>
          <w:marTop w:val="100"/>
          <w:marBottom w:val="0"/>
          <w:divBdr>
            <w:top w:val="none" w:sz="0" w:space="0" w:color="auto"/>
            <w:left w:val="none" w:sz="0" w:space="0" w:color="auto"/>
            <w:bottom w:val="none" w:sz="0" w:space="0" w:color="auto"/>
            <w:right w:val="none" w:sz="0" w:space="0" w:color="auto"/>
          </w:divBdr>
        </w:div>
      </w:divsChild>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09440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08627913">
      <w:bodyDiv w:val="1"/>
      <w:marLeft w:val="0"/>
      <w:marRight w:val="0"/>
      <w:marTop w:val="0"/>
      <w:marBottom w:val="0"/>
      <w:divBdr>
        <w:top w:val="none" w:sz="0" w:space="0" w:color="auto"/>
        <w:left w:val="none" w:sz="0" w:space="0" w:color="auto"/>
        <w:bottom w:val="none" w:sz="0" w:space="0" w:color="auto"/>
        <w:right w:val="none" w:sz="0" w:space="0" w:color="auto"/>
      </w:divBdr>
    </w:div>
    <w:div w:id="2012758936">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31905076">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4273154">
      <w:bodyDiv w:val="1"/>
      <w:marLeft w:val="0"/>
      <w:marRight w:val="0"/>
      <w:marTop w:val="0"/>
      <w:marBottom w:val="0"/>
      <w:divBdr>
        <w:top w:val="none" w:sz="0" w:space="0" w:color="auto"/>
        <w:left w:val="none" w:sz="0" w:space="0" w:color="auto"/>
        <w:bottom w:val="none" w:sz="0" w:space="0" w:color="auto"/>
        <w:right w:val="none" w:sz="0" w:space="0" w:color="auto"/>
      </w:divBdr>
      <w:divsChild>
        <w:div w:id="1447044926">
          <w:marLeft w:val="0"/>
          <w:marRight w:val="0"/>
          <w:marTop w:val="0"/>
          <w:marBottom w:val="0"/>
          <w:divBdr>
            <w:top w:val="none" w:sz="0" w:space="0" w:color="auto"/>
            <w:left w:val="none" w:sz="0" w:space="0" w:color="auto"/>
            <w:bottom w:val="none" w:sz="0" w:space="0" w:color="auto"/>
            <w:right w:val="none" w:sz="0" w:space="0" w:color="auto"/>
          </w:divBdr>
        </w:div>
      </w:divsChild>
    </w:div>
    <w:div w:id="2114084065">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yperlink" Target="https://arxiv.org/abs/1801.03346" TargetMode="External"/><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2</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3</b:RefOrder>
  </b:Source>
  <b:Source>
    <b:Tag>IEE12</b:Tag>
    <b:SourceType>Report</b:SourceType>
    <b:Guid>{41CDEE10-964A-484B-AD95-3E55CEDE37BD}</b:Guid>
    <b:Title>"Part 11: Wireless LAN Medium Access Control (MAC) and Physical Layer (PHY) Specifications", IEEE Standard 802.11 </b:Title>
    <b:Year>2012</b:Year>
    <b:RefOrder>4</b:RefOrder>
  </b:Source>
  <b:Source>
    <b:Tag>R4115</b:Tag>
    <b:SourceType>Report</b:SourceType>
    <b:Guid>{21436583-4357-492C-9B64-3A14F94DA724}</b:Guid>
    <b:Title>R4-150222, "LAA coexistence scenarios", Qualcomm Inc.</b:Title>
    <b:Year>Feb 2015</b:Year>
    <b:City>Athens</b:City>
    <b:RefOrder>5</b:RefOrder>
  </b:Source>
  <b:Source>
    <b:Tag>3GP12</b:Tag>
    <b:SourceType>Report</b:SourceType>
    <b:Guid>{C4A965B1-12C7-41A6-BC49-C349DFAA6E80}</b:Guid>
    <b:Title>3GPP TR 36.942 V11.0.0, “Radio Frequency (RF) system scenarios,” </b:Title>
    <b:Year>Sept. 2012</b:Year>
    <b:RefOrder>6</b:RefOrder>
  </b:Source>
  <b:Source>
    <b:Tag>htt</b:Tag>
    <b:SourceType>Report</b:SourceType>
    <b:Guid>{346657A8-7880-4D8F-99E0-7AA2761BEB79}</b:Guid>
    <b:Title>https://mentor.ieee.org/802.11/dcn/14/11-14-0571-08-00ax-evaluation-methodology.docx</b:Title>
    <b:RefOrder>7</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13C1FC0B-F8A4-47AE-9F83-D74CAA442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164</TotalTime>
  <Pages>10</Pages>
  <Words>2347</Words>
  <Characters>13380</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Manager>mpapaleo@qti.qualcomm.com</Manager>
  <Company>Qualcomm</Company>
  <LinksUpToDate>false</LinksUpToDate>
  <CharactersWithSpaces>15696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Papaleo, Marco</cp:lastModifiedBy>
  <cp:revision>75</cp:revision>
  <cp:lastPrinted>2017-10-02T17:41:00Z</cp:lastPrinted>
  <dcterms:created xsi:type="dcterms:W3CDTF">2018-01-12T17:09:00Z</dcterms:created>
  <dcterms:modified xsi:type="dcterms:W3CDTF">2018-01-15T21:35:00Z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AdHocReviewCycleID">
    <vt:i4>-160895532</vt:i4>
  </property>
  <property fmtid="{D5CDD505-2E9C-101B-9397-08002B2CF9AE}" pid="11" name="_EmailSubject">
    <vt:lpwstr>Paper on peak EIRP and spherical coverage</vt:lpwstr>
  </property>
  <property fmtid="{D5CDD505-2E9C-101B-9397-08002B2CF9AE}" pid="12" name="_AuthorEmail">
    <vt:lpwstr>mpapaleo@qti.qualcomm.com</vt:lpwstr>
  </property>
  <property fmtid="{D5CDD505-2E9C-101B-9397-08002B2CF9AE}" pid="13" name="_AuthorEmailDisplayName">
    <vt:lpwstr>Marco Papaleo</vt:lpwstr>
  </property>
  <property fmtid="{D5CDD505-2E9C-101B-9397-08002B2CF9AE}" pid="14" name="_ReviewingToolsShownOnce">
    <vt:lpwstr/>
  </property>
</Properties>
</file>